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BFB" w:rsidRDefault="002F4BFB" w:rsidP="005E4141">
      <w:pPr>
        <w:pStyle w:val="Heading1"/>
        <w:jc w:val="center"/>
      </w:pPr>
      <w:r w:rsidRPr="003D0798">
        <w:rPr>
          <w:color w:val="auto"/>
        </w:rPr>
        <w:t xml:space="preserve">Using </w:t>
      </w:r>
      <w:r w:rsidR="00496343" w:rsidRPr="003D0798">
        <w:rPr>
          <w:color w:val="auto"/>
        </w:rPr>
        <w:t>Social Network Analysis to Identify Social Topology in Communities of Vulnerable People</w:t>
      </w:r>
    </w:p>
    <w:p w:rsidR="005E4141" w:rsidRDefault="005E4141" w:rsidP="000D4237">
      <w:pPr>
        <w:pStyle w:val="Heading2"/>
      </w:pPr>
    </w:p>
    <w:p w:rsidR="005E4141" w:rsidRDefault="005E4141" w:rsidP="000D4237">
      <w:pPr>
        <w:pStyle w:val="Heading2"/>
      </w:pPr>
    </w:p>
    <w:p w:rsidR="005E4141" w:rsidRDefault="005E4141" w:rsidP="000D4237">
      <w:pPr>
        <w:pStyle w:val="Heading2"/>
      </w:pPr>
    </w:p>
    <w:p w:rsidR="005E4141" w:rsidRDefault="005E4141" w:rsidP="000D4237">
      <w:pPr>
        <w:pStyle w:val="Heading2"/>
      </w:pPr>
    </w:p>
    <w:p w:rsidR="005E4141" w:rsidRDefault="005E4141" w:rsidP="000D4237">
      <w:pPr>
        <w:pStyle w:val="Heading2"/>
      </w:pPr>
    </w:p>
    <w:p w:rsidR="005E4141" w:rsidRDefault="005E4141" w:rsidP="005E4141">
      <w:pPr>
        <w:jc w:val="center"/>
      </w:pPr>
      <w:r>
        <w:t>James Tompkins</w:t>
      </w:r>
    </w:p>
    <w:p w:rsidR="005E4141" w:rsidRDefault="005E4141" w:rsidP="005E4141">
      <w:pPr>
        <w:jc w:val="center"/>
      </w:pPr>
      <w:r>
        <w:t>MGIS Capstone Project</w:t>
      </w:r>
    </w:p>
    <w:p w:rsidR="00763455" w:rsidRDefault="005E4141" w:rsidP="00763455">
      <w:pPr>
        <w:jc w:val="center"/>
      </w:pPr>
      <w:r>
        <w:t>The Pennsylvania State University</w:t>
      </w:r>
    </w:p>
    <w:p w:rsidR="005E4141" w:rsidRDefault="005E4141" w:rsidP="005E4141">
      <w:pPr>
        <w:jc w:val="center"/>
      </w:pPr>
      <w:r>
        <w:t>April 30</w:t>
      </w:r>
      <w:r w:rsidRPr="005E4141">
        <w:rPr>
          <w:vertAlign w:val="superscript"/>
        </w:rPr>
        <w:t>th</w:t>
      </w:r>
      <w:r>
        <w:t xml:space="preserve"> 2014</w:t>
      </w:r>
    </w:p>
    <w:p w:rsidR="005E4141" w:rsidRDefault="005E4141" w:rsidP="000D4237">
      <w:pPr>
        <w:pStyle w:val="Heading2"/>
      </w:pPr>
    </w:p>
    <w:p w:rsidR="005E4141" w:rsidRDefault="005E4141" w:rsidP="000D4237">
      <w:pPr>
        <w:pStyle w:val="Heading2"/>
      </w:pPr>
    </w:p>
    <w:p w:rsidR="005E4141" w:rsidRDefault="005E4141" w:rsidP="000D4237">
      <w:pPr>
        <w:pStyle w:val="Heading2"/>
      </w:pPr>
    </w:p>
    <w:p w:rsidR="005E4141" w:rsidRDefault="005E4141" w:rsidP="000D4237">
      <w:pPr>
        <w:pStyle w:val="Heading2"/>
      </w:pPr>
    </w:p>
    <w:p w:rsidR="005E4141" w:rsidRDefault="005E4141" w:rsidP="000D4237">
      <w:pPr>
        <w:pStyle w:val="Heading2"/>
      </w:pPr>
    </w:p>
    <w:p w:rsidR="005E4141" w:rsidRDefault="005E4141" w:rsidP="000D4237">
      <w:pPr>
        <w:pStyle w:val="Heading2"/>
      </w:pPr>
    </w:p>
    <w:p w:rsidR="005E4141" w:rsidRDefault="005E4141" w:rsidP="005E4141"/>
    <w:p w:rsidR="005E4141" w:rsidRPr="005E4141" w:rsidRDefault="005E4141" w:rsidP="005E4141"/>
    <w:p w:rsidR="005E4141" w:rsidRDefault="005E4141" w:rsidP="000D4237">
      <w:pPr>
        <w:pStyle w:val="Heading2"/>
      </w:pPr>
    </w:p>
    <w:p w:rsidR="005E4141" w:rsidRDefault="005E4141" w:rsidP="005E4141">
      <w:pPr>
        <w:pStyle w:val="Heading2"/>
      </w:pPr>
    </w:p>
    <w:p w:rsidR="005E4141" w:rsidRDefault="005E4141" w:rsidP="005E4141">
      <w:pPr>
        <w:pStyle w:val="Heading2"/>
      </w:pPr>
    </w:p>
    <w:p w:rsidR="005E4141" w:rsidRDefault="005E4141" w:rsidP="005E4141">
      <w:pPr>
        <w:pStyle w:val="Heading2"/>
      </w:pPr>
    </w:p>
    <w:p w:rsidR="005E4141" w:rsidRPr="005E4141" w:rsidRDefault="005E4141" w:rsidP="005E4141"/>
    <w:p w:rsidR="00875078" w:rsidRPr="00BE084C" w:rsidRDefault="00875078" w:rsidP="00875078">
      <w:pPr>
        <w:pStyle w:val="Heading2"/>
        <w:rPr>
          <w:color w:val="auto"/>
        </w:rPr>
      </w:pPr>
      <w:r w:rsidRPr="00BE084C">
        <w:rPr>
          <w:color w:val="auto"/>
        </w:rPr>
        <w:lastRenderedPageBreak/>
        <w:t>Abstract</w:t>
      </w:r>
    </w:p>
    <w:p w:rsidR="00875078" w:rsidRDefault="00875078" w:rsidP="00875078"/>
    <w:p w:rsidR="00875078" w:rsidRDefault="00875078" w:rsidP="00875078">
      <w:pPr>
        <w:rPr>
          <w:rFonts w:ascii="Times New Roman" w:hAnsi="Times New Roman" w:cs="Times New Roman"/>
          <w:sz w:val="24"/>
          <w:szCs w:val="24"/>
        </w:rPr>
      </w:pPr>
      <w:r w:rsidRPr="00815163">
        <w:rPr>
          <w:rFonts w:ascii="Times New Roman" w:hAnsi="Times New Roman" w:cs="Times New Roman"/>
          <w:b/>
          <w:sz w:val="24"/>
          <w:szCs w:val="24"/>
        </w:rPr>
        <w:t>Background:</w:t>
      </w:r>
      <w:r>
        <w:rPr>
          <w:rFonts w:ascii="Times New Roman" w:hAnsi="Times New Roman" w:cs="Times New Roman"/>
          <w:b/>
          <w:sz w:val="24"/>
          <w:szCs w:val="24"/>
        </w:rPr>
        <w:t xml:space="preserve"> </w:t>
      </w:r>
      <w:r>
        <w:rPr>
          <w:rFonts w:ascii="Times New Roman" w:hAnsi="Times New Roman" w:cs="Times New Roman"/>
          <w:sz w:val="24"/>
          <w:szCs w:val="24"/>
        </w:rPr>
        <w:t xml:space="preserve">Risk-based behaviors like injected drug use (IDU) and participation in the commercial sex trade can lead to heightened potential for transmission of </w:t>
      </w:r>
      <w:proofErr w:type="spellStart"/>
      <w:r>
        <w:rPr>
          <w:rFonts w:ascii="Times New Roman" w:hAnsi="Times New Roman" w:cs="Times New Roman"/>
          <w:sz w:val="24"/>
          <w:szCs w:val="24"/>
        </w:rPr>
        <w:t>bloodborne</w:t>
      </w:r>
      <w:proofErr w:type="spellEnd"/>
      <w:r>
        <w:rPr>
          <w:rFonts w:ascii="Times New Roman" w:hAnsi="Times New Roman" w:cs="Times New Roman"/>
          <w:sz w:val="24"/>
          <w:szCs w:val="24"/>
        </w:rPr>
        <w:t xml:space="preserve"> pathogens and sexually transmitted infections. To understand transmission patterns, social network analysis and spatial analysis methods have been used independently of one another. However, little consideration has been made to the role place has in social networks and how specific locations impact transmission risk.</w:t>
      </w:r>
    </w:p>
    <w:p w:rsidR="00875078" w:rsidRPr="00EE7020" w:rsidRDefault="00875078" w:rsidP="00875078">
      <w:pPr>
        <w:rPr>
          <w:rFonts w:ascii="Times New Roman" w:hAnsi="Times New Roman" w:cs="Times New Roman"/>
          <w:sz w:val="24"/>
          <w:szCs w:val="24"/>
        </w:rPr>
      </w:pPr>
      <w:r>
        <w:rPr>
          <w:rFonts w:ascii="Times New Roman" w:hAnsi="Times New Roman" w:cs="Times New Roman"/>
          <w:b/>
          <w:sz w:val="24"/>
          <w:szCs w:val="24"/>
        </w:rPr>
        <w:t xml:space="preserve">Methods: </w:t>
      </w:r>
      <w:r>
        <w:rPr>
          <w:rFonts w:ascii="Times New Roman" w:hAnsi="Times New Roman" w:cs="Times New Roman"/>
          <w:sz w:val="24"/>
          <w:szCs w:val="24"/>
        </w:rPr>
        <w:t xml:space="preserve">A sample of vulnerable people was obtained through respondent driven sampling in Winnipeg, Canada from January to December, 2009. Spatial data were generated from intersections or site names respondents named in questions regarding their activities. </w:t>
      </w:r>
      <w:proofErr w:type="spellStart"/>
      <w:r>
        <w:rPr>
          <w:rFonts w:ascii="Times New Roman" w:hAnsi="Times New Roman" w:cs="Times New Roman"/>
          <w:sz w:val="24"/>
          <w:szCs w:val="24"/>
        </w:rPr>
        <w:t>Pajek</w:t>
      </w:r>
      <w:proofErr w:type="spellEnd"/>
      <w:r>
        <w:rPr>
          <w:rFonts w:ascii="Times New Roman" w:hAnsi="Times New Roman" w:cs="Times New Roman"/>
          <w:sz w:val="24"/>
          <w:szCs w:val="24"/>
        </w:rPr>
        <w:t xml:space="preserve"> network analysis software was used to assess the network data for the study sample, with participation locations linked to respondents, and </w:t>
      </w:r>
      <w:proofErr w:type="spellStart"/>
      <w:r>
        <w:rPr>
          <w:rFonts w:ascii="Times New Roman" w:hAnsi="Times New Roman" w:cs="Times New Roman"/>
          <w:sz w:val="24"/>
          <w:szCs w:val="24"/>
        </w:rPr>
        <w:t>betweenness</w:t>
      </w:r>
      <w:proofErr w:type="spellEnd"/>
      <w:r>
        <w:rPr>
          <w:rFonts w:ascii="Times New Roman" w:hAnsi="Times New Roman" w:cs="Times New Roman"/>
          <w:sz w:val="24"/>
          <w:szCs w:val="24"/>
        </w:rPr>
        <w:t xml:space="preserve"> centrality was calculated. The spatial network was mapped in ArcGIS software. </w:t>
      </w:r>
      <w:proofErr w:type="gramStart"/>
      <w:r>
        <w:rPr>
          <w:rFonts w:ascii="Times New Roman" w:hAnsi="Times New Roman" w:cs="Times New Roman"/>
          <w:sz w:val="24"/>
          <w:szCs w:val="24"/>
        </w:rPr>
        <w:t>A kernel</w:t>
      </w:r>
      <w:proofErr w:type="gramEnd"/>
      <w:r>
        <w:rPr>
          <w:rFonts w:ascii="Times New Roman" w:hAnsi="Times New Roman" w:cs="Times New Roman"/>
          <w:sz w:val="24"/>
          <w:szCs w:val="24"/>
        </w:rPr>
        <w:t xml:space="preserve"> density estimation (KDE) function was run on the count of points created from study responses. A KDE surface was then generated using </w:t>
      </w:r>
      <w:proofErr w:type="spellStart"/>
      <w:r>
        <w:rPr>
          <w:rFonts w:ascii="Times New Roman" w:hAnsi="Times New Roman" w:cs="Times New Roman"/>
          <w:sz w:val="24"/>
          <w:szCs w:val="24"/>
        </w:rPr>
        <w:t>betweenness</w:t>
      </w:r>
      <w:proofErr w:type="spellEnd"/>
      <w:r>
        <w:rPr>
          <w:rFonts w:ascii="Times New Roman" w:hAnsi="Times New Roman" w:cs="Times New Roman"/>
          <w:sz w:val="24"/>
          <w:szCs w:val="24"/>
        </w:rPr>
        <w:t xml:space="preserve"> centrality as a weight for the individuals and activity sites in each component to generate a social topology.</w:t>
      </w:r>
    </w:p>
    <w:p w:rsidR="00875078" w:rsidRPr="00FB2086" w:rsidRDefault="00875078" w:rsidP="00875078">
      <w:pPr>
        <w:rPr>
          <w:rFonts w:ascii="Times New Roman" w:hAnsi="Times New Roman" w:cs="Times New Roman"/>
          <w:sz w:val="24"/>
          <w:szCs w:val="24"/>
        </w:rPr>
      </w:pPr>
      <w:r>
        <w:rPr>
          <w:rFonts w:ascii="Times New Roman" w:hAnsi="Times New Roman" w:cs="Times New Roman"/>
          <w:b/>
          <w:sz w:val="24"/>
          <w:szCs w:val="24"/>
        </w:rPr>
        <w:t xml:space="preserve">Results: </w:t>
      </w:r>
      <w:r>
        <w:rPr>
          <w:rFonts w:ascii="Times New Roman" w:hAnsi="Times New Roman" w:cs="Times New Roman"/>
          <w:sz w:val="24"/>
          <w:szCs w:val="24"/>
        </w:rPr>
        <w:t>Approximately half of respondents said they had ever used injected drugs. 101 unique sites were named by the 600 respondents as sites where they participated in risk-related behaviours. Analysis of the network revealed a giant component comprising 55% of the network, and key activity spaces in social topologies were observed. Spatial analysis showed a mean distance of less than 4 km existed between individuals and the people and places they were linked to.</w:t>
      </w:r>
    </w:p>
    <w:p w:rsidR="00EE7020" w:rsidRPr="00726D0E" w:rsidRDefault="00875078" w:rsidP="00875078">
      <w:pPr>
        <w:rPr>
          <w:rFonts w:ascii="Times New Roman" w:hAnsi="Times New Roman" w:cs="Times New Roman"/>
          <w:sz w:val="24"/>
          <w:szCs w:val="24"/>
        </w:rPr>
      </w:pPr>
      <w:r>
        <w:rPr>
          <w:rFonts w:ascii="Times New Roman" w:hAnsi="Times New Roman" w:cs="Times New Roman"/>
          <w:b/>
          <w:sz w:val="24"/>
          <w:szCs w:val="24"/>
        </w:rPr>
        <w:t xml:space="preserve">Conclusions: </w:t>
      </w:r>
      <w:r>
        <w:rPr>
          <w:rFonts w:ascii="Times New Roman" w:hAnsi="Times New Roman" w:cs="Times New Roman"/>
          <w:sz w:val="24"/>
          <w:szCs w:val="24"/>
        </w:rPr>
        <w:t>This research demonstrates the importance of considering risk-related activity sites in assessing social networks for transmission risk. Inclusion of locations as social network nodes is shown to highlight a cohesive network among an RDS sample and identifies social topologies optimal for targeted intervention and prevention resources.</w:t>
      </w:r>
    </w:p>
    <w:p w:rsidR="005E4141" w:rsidRDefault="005E4141" w:rsidP="005E4141"/>
    <w:p w:rsidR="005E4141" w:rsidRDefault="005E4141" w:rsidP="005E4141"/>
    <w:p w:rsidR="005E4141" w:rsidRDefault="005E4141" w:rsidP="005E4141"/>
    <w:p w:rsidR="005E4141" w:rsidRDefault="005E4141" w:rsidP="005E4141"/>
    <w:p w:rsidR="005E4141" w:rsidRDefault="005E4141" w:rsidP="005E4141"/>
    <w:p w:rsidR="005E4141" w:rsidRDefault="005E4141" w:rsidP="005E4141"/>
    <w:p w:rsidR="005E4141" w:rsidRDefault="005E4141" w:rsidP="005E4141"/>
    <w:p w:rsidR="00E623A9" w:rsidRPr="00BE084C" w:rsidRDefault="000D4237" w:rsidP="000D4237">
      <w:pPr>
        <w:pStyle w:val="Heading2"/>
        <w:rPr>
          <w:color w:val="auto"/>
        </w:rPr>
      </w:pPr>
      <w:r w:rsidRPr="00BE084C">
        <w:rPr>
          <w:color w:val="auto"/>
        </w:rPr>
        <w:lastRenderedPageBreak/>
        <w:t>Introduction</w:t>
      </w:r>
    </w:p>
    <w:p w:rsidR="001C249F" w:rsidRPr="00DB5DC3" w:rsidRDefault="00631F85" w:rsidP="002F4BFB">
      <w:pPr>
        <w:rPr>
          <w:rFonts w:ascii="Times New Roman" w:hAnsi="Times New Roman" w:cs="Times New Roman"/>
          <w:sz w:val="24"/>
          <w:szCs w:val="24"/>
        </w:rPr>
      </w:pPr>
      <w:r>
        <w:rPr>
          <w:rFonts w:ascii="Times New Roman" w:hAnsi="Times New Roman" w:cs="Times New Roman"/>
          <w:sz w:val="24"/>
          <w:szCs w:val="24"/>
        </w:rPr>
        <w:t>Sexually t</w:t>
      </w:r>
      <w:r w:rsidRPr="00631F85">
        <w:rPr>
          <w:rFonts w:ascii="Times New Roman" w:hAnsi="Times New Roman" w:cs="Times New Roman"/>
          <w:sz w:val="24"/>
          <w:szCs w:val="24"/>
        </w:rPr>
        <w:t>ransmitted</w:t>
      </w:r>
      <w:r>
        <w:rPr>
          <w:rFonts w:ascii="Times New Roman" w:hAnsi="Times New Roman" w:cs="Times New Roman"/>
          <w:sz w:val="24"/>
          <w:szCs w:val="24"/>
        </w:rPr>
        <w:t xml:space="preserve"> infections (STIs; </w:t>
      </w:r>
      <w:r w:rsidR="00896780">
        <w:rPr>
          <w:rFonts w:ascii="Times New Roman" w:hAnsi="Times New Roman" w:cs="Times New Roman"/>
          <w:sz w:val="24"/>
          <w:szCs w:val="24"/>
        </w:rPr>
        <w:t>such as</w:t>
      </w:r>
      <w:r>
        <w:rPr>
          <w:rFonts w:ascii="Times New Roman" w:hAnsi="Times New Roman" w:cs="Times New Roman"/>
          <w:sz w:val="24"/>
          <w:szCs w:val="24"/>
        </w:rPr>
        <w:t xml:space="preserve"> chlamydia, gonorrhea, and infectious syphilis) and </w:t>
      </w:r>
      <w:proofErr w:type="spellStart"/>
      <w:r>
        <w:rPr>
          <w:rFonts w:ascii="Times New Roman" w:hAnsi="Times New Roman" w:cs="Times New Roman"/>
          <w:sz w:val="24"/>
          <w:szCs w:val="24"/>
        </w:rPr>
        <w:t>bloodborne</w:t>
      </w:r>
      <w:proofErr w:type="spellEnd"/>
      <w:r>
        <w:rPr>
          <w:rFonts w:ascii="Times New Roman" w:hAnsi="Times New Roman" w:cs="Times New Roman"/>
          <w:sz w:val="24"/>
          <w:szCs w:val="24"/>
        </w:rPr>
        <w:t xml:space="preserve"> pathogens (BBPs; </w:t>
      </w:r>
      <w:r w:rsidR="00896780">
        <w:rPr>
          <w:rFonts w:ascii="Times New Roman" w:hAnsi="Times New Roman" w:cs="Times New Roman"/>
          <w:sz w:val="24"/>
          <w:szCs w:val="24"/>
        </w:rPr>
        <w:t>such as</w:t>
      </w:r>
      <w:r>
        <w:rPr>
          <w:rFonts w:ascii="Times New Roman" w:hAnsi="Times New Roman" w:cs="Times New Roman"/>
          <w:sz w:val="24"/>
          <w:szCs w:val="24"/>
        </w:rPr>
        <w:t xml:space="preserve"> HIV and Hepatitis C)</w:t>
      </w:r>
      <w:r w:rsidR="005F0A69">
        <w:rPr>
          <w:rFonts w:ascii="Times New Roman" w:hAnsi="Times New Roman" w:cs="Times New Roman"/>
          <w:sz w:val="24"/>
          <w:szCs w:val="24"/>
        </w:rPr>
        <w:t xml:space="preserve"> are treatable diseases that </w:t>
      </w:r>
      <w:r w:rsidR="001C249F">
        <w:rPr>
          <w:rFonts w:ascii="Times New Roman" w:hAnsi="Times New Roman" w:cs="Times New Roman"/>
          <w:sz w:val="24"/>
          <w:szCs w:val="24"/>
        </w:rPr>
        <w:t>have increased at an alarming rate over the last decade</w:t>
      </w:r>
      <w:r w:rsidR="005F0A69">
        <w:rPr>
          <w:rFonts w:ascii="Times New Roman" w:hAnsi="Times New Roman" w:cs="Times New Roman"/>
          <w:sz w:val="24"/>
          <w:szCs w:val="24"/>
        </w:rPr>
        <w:t xml:space="preserve"> (World Health Organization, 2011; Centers for Disease Control and Prevention, 2013; </w:t>
      </w:r>
      <w:proofErr w:type="spellStart"/>
      <w:r w:rsidR="005F0A69">
        <w:rPr>
          <w:rFonts w:ascii="Times New Roman" w:hAnsi="Times New Roman" w:cs="Times New Roman"/>
          <w:sz w:val="24"/>
          <w:szCs w:val="24"/>
        </w:rPr>
        <w:t>Remis</w:t>
      </w:r>
      <w:proofErr w:type="spellEnd"/>
      <w:r w:rsidR="005F0A69">
        <w:rPr>
          <w:rFonts w:ascii="Times New Roman" w:hAnsi="Times New Roman" w:cs="Times New Roman"/>
          <w:sz w:val="24"/>
          <w:szCs w:val="24"/>
        </w:rPr>
        <w:t xml:space="preserve">, 2007). </w:t>
      </w:r>
      <w:r w:rsidR="001C249F">
        <w:rPr>
          <w:rFonts w:ascii="Times New Roman" w:hAnsi="Times New Roman" w:cs="Times New Roman"/>
          <w:sz w:val="24"/>
          <w:szCs w:val="24"/>
        </w:rPr>
        <w:t xml:space="preserve">Each year, 448 million new cases of curable STIs occur </w:t>
      </w:r>
      <w:r w:rsidR="00896780">
        <w:rPr>
          <w:rFonts w:ascii="Times New Roman" w:hAnsi="Times New Roman" w:cs="Times New Roman"/>
          <w:sz w:val="24"/>
          <w:szCs w:val="24"/>
        </w:rPr>
        <w:t>in adults throughout the world</w:t>
      </w:r>
      <w:r w:rsidR="00135A6A">
        <w:rPr>
          <w:rFonts w:ascii="Times New Roman" w:hAnsi="Times New Roman" w:cs="Times New Roman"/>
          <w:sz w:val="24"/>
          <w:szCs w:val="24"/>
        </w:rPr>
        <w:t xml:space="preserve"> and many live unaware that they are infected</w:t>
      </w:r>
      <w:r w:rsidR="001C249F">
        <w:rPr>
          <w:rFonts w:ascii="Times New Roman" w:hAnsi="Times New Roman" w:cs="Times New Roman"/>
          <w:sz w:val="24"/>
          <w:szCs w:val="24"/>
        </w:rPr>
        <w:t xml:space="preserve"> (WHO, 2011</w:t>
      </w:r>
      <w:r w:rsidR="00135A6A">
        <w:rPr>
          <w:rFonts w:ascii="Times New Roman" w:hAnsi="Times New Roman" w:cs="Times New Roman"/>
          <w:sz w:val="24"/>
          <w:szCs w:val="24"/>
        </w:rPr>
        <w:t>; Public Health Agency of Canada, 2011</w:t>
      </w:r>
      <w:r w:rsidR="001C249F">
        <w:rPr>
          <w:rFonts w:ascii="Times New Roman" w:hAnsi="Times New Roman" w:cs="Times New Roman"/>
          <w:sz w:val="24"/>
          <w:szCs w:val="24"/>
        </w:rPr>
        <w:t xml:space="preserve">). </w:t>
      </w:r>
      <w:r w:rsidR="00135A6A">
        <w:rPr>
          <w:rFonts w:ascii="Times New Roman" w:hAnsi="Times New Roman" w:cs="Times New Roman"/>
          <w:sz w:val="24"/>
          <w:szCs w:val="24"/>
        </w:rPr>
        <w:t xml:space="preserve">STIs and BBPs require close contact for transmission (PHAC, 2010). They are diseases </w:t>
      </w:r>
      <w:r w:rsidR="00DB5DC3">
        <w:rPr>
          <w:rFonts w:ascii="Times New Roman" w:hAnsi="Times New Roman" w:cs="Times New Roman"/>
          <w:sz w:val="24"/>
          <w:szCs w:val="24"/>
        </w:rPr>
        <w:t xml:space="preserve">with a significant basis in behavioural patterns; their spread through a population does not occur in an identifiably uniform or random distribution (Wylie </w:t>
      </w:r>
      <w:r w:rsidR="00DB5DC3">
        <w:rPr>
          <w:rFonts w:ascii="Times New Roman" w:hAnsi="Times New Roman" w:cs="Times New Roman"/>
          <w:i/>
          <w:sz w:val="24"/>
          <w:szCs w:val="24"/>
        </w:rPr>
        <w:t>et al.</w:t>
      </w:r>
      <w:r w:rsidR="00DB5DC3">
        <w:rPr>
          <w:rFonts w:ascii="Times New Roman" w:hAnsi="Times New Roman" w:cs="Times New Roman"/>
          <w:sz w:val="24"/>
          <w:szCs w:val="24"/>
        </w:rPr>
        <w:t xml:space="preserve">, 2005). Rather, it is often a function of complex social interaction between two individuals or a network of people. Epidemiologically, emphasis is placed on populations inclined to engage in risk-based behaviours like unprotected sex, heightened sexual promiscuity and use of injected drugs through needle sharing (Wylie </w:t>
      </w:r>
      <w:r w:rsidR="00DB5DC3">
        <w:rPr>
          <w:rFonts w:ascii="Times New Roman" w:hAnsi="Times New Roman" w:cs="Times New Roman"/>
          <w:i/>
          <w:sz w:val="24"/>
          <w:szCs w:val="24"/>
        </w:rPr>
        <w:t>et al.</w:t>
      </w:r>
      <w:r w:rsidR="00DB5DC3">
        <w:rPr>
          <w:rFonts w:ascii="Times New Roman" w:hAnsi="Times New Roman" w:cs="Times New Roman"/>
          <w:sz w:val="24"/>
          <w:szCs w:val="24"/>
        </w:rPr>
        <w:t xml:space="preserve">, 2005; De </w:t>
      </w:r>
      <w:r w:rsidR="00DB5DC3">
        <w:rPr>
          <w:rFonts w:ascii="Times New Roman" w:hAnsi="Times New Roman" w:cs="Times New Roman"/>
          <w:i/>
          <w:sz w:val="24"/>
          <w:szCs w:val="24"/>
        </w:rPr>
        <w:t>et al.</w:t>
      </w:r>
      <w:r w:rsidR="00DB5DC3">
        <w:rPr>
          <w:rFonts w:ascii="Times New Roman" w:hAnsi="Times New Roman" w:cs="Times New Roman"/>
          <w:sz w:val="24"/>
          <w:szCs w:val="24"/>
        </w:rPr>
        <w:t>, 2007).</w:t>
      </w:r>
    </w:p>
    <w:p w:rsidR="00DB5DC3" w:rsidRPr="001E1E96" w:rsidRDefault="00DB5DC3" w:rsidP="002F4BFB">
      <w:pPr>
        <w:rPr>
          <w:rFonts w:ascii="Times New Roman" w:hAnsi="Times New Roman" w:cs="Times New Roman"/>
          <w:sz w:val="24"/>
          <w:szCs w:val="24"/>
        </w:rPr>
      </w:pPr>
      <w:r>
        <w:rPr>
          <w:rFonts w:ascii="Times New Roman" w:hAnsi="Times New Roman" w:cs="Times New Roman"/>
          <w:sz w:val="24"/>
          <w:szCs w:val="24"/>
        </w:rPr>
        <w:t>To understand the transmission of these diseases</w:t>
      </w:r>
      <w:r w:rsidR="001E1E96">
        <w:rPr>
          <w:rFonts w:ascii="Times New Roman" w:hAnsi="Times New Roman" w:cs="Times New Roman"/>
          <w:sz w:val="24"/>
          <w:szCs w:val="24"/>
        </w:rPr>
        <w:t xml:space="preserve">, graph theory is applied to social networks. Through social network analysis, networks of people are modeled using graphs to understand personal connections to other people and places. In practice, researchers treat these interactions as potential paths of transmission, examining behaviours that make an individual susceptible to infectious diseases. Numerous studies (De </w:t>
      </w:r>
      <w:r w:rsidR="001E1E96">
        <w:rPr>
          <w:rFonts w:ascii="Times New Roman" w:hAnsi="Times New Roman" w:cs="Times New Roman"/>
          <w:i/>
          <w:sz w:val="24"/>
          <w:szCs w:val="24"/>
        </w:rPr>
        <w:t>et al.</w:t>
      </w:r>
      <w:r w:rsidR="001E1E96">
        <w:rPr>
          <w:rFonts w:ascii="Times New Roman" w:hAnsi="Times New Roman" w:cs="Times New Roman"/>
          <w:sz w:val="24"/>
          <w:szCs w:val="24"/>
        </w:rPr>
        <w:t xml:space="preserve">, 2004; De </w:t>
      </w:r>
      <w:r w:rsidR="001E1E96">
        <w:rPr>
          <w:rFonts w:ascii="Times New Roman" w:hAnsi="Times New Roman" w:cs="Times New Roman"/>
          <w:i/>
          <w:sz w:val="24"/>
          <w:szCs w:val="24"/>
        </w:rPr>
        <w:t>et al.</w:t>
      </w:r>
      <w:r w:rsidR="001E1E96">
        <w:rPr>
          <w:rFonts w:ascii="Times New Roman" w:hAnsi="Times New Roman" w:cs="Times New Roman"/>
          <w:sz w:val="24"/>
          <w:szCs w:val="24"/>
        </w:rPr>
        <w:t xml:space="preserve">, 2007; Bansal </w:t>
      </w:r>
      <w:r w:rsidR="001E1E96">
        <w:rPr>
          <w:rFonts w:ascii="Times New Roman" w:hAnsi="Times New Roman" w:cs="Times New Roman"/>
          <w:i/>
          <w:sz w:val="24"/>
          <w:szCs w:val="24"/>
        </w:rPr>
        <w:t>et al.</w:t>
      </w:r>
      <w:r w:rsidR="001E1E96">
        <w:rPr>
          <w:rFonts w:ascii="Times New Roman" w:hAnsi="Times New Roman" w:cs="Times New Roman"/>
          <w:sz w:val="24"/>
          <w:szCs w:val="24"/>
        </w:rPr>
        <w:t xml:space="preserve">, 2007) include measures of social aggregation in defining </w:t>
      </w:r>
      <w:proofErr w:type="spellStart"/>
      <w:r w:rsidR="001E1E96">
        <w:rPr>
          <w:rFonts w:ascii="Times New Roman" w:hAnsi="Times New Roman" w:cs="Times New Roman"/>
          <w:sz w:val="24"/>
          <w:szCs w:val="24"/>
        </w:rPr>
        <w:t>sociosexual</w:t>
      </w:r>
      <w:proofErr w:type="spellEnd"/>
      <w:r w:rsidR="001E1E96">
        <w:rPr>
          <w:rFonts w:ascii="Times New Roman" w:hAnsi="Times New Roman" w:cs="Times New Roman"/>
          <w:sz w:val="24"/>
          <w:szCs w:val="24"/>
        </w:rPr>
        <w:t xml:space="preserve"> networks with risk prevalence.</w:t>
      </w:r>
    </w:p>
    <w:p w:rsidR="001708C1" w:rsidRDefault="001708C1" w:rsidP="002F4BFB">
      <w:pPr>
        <w:rPr>
          <w:rFonts w:ascii="Times New Roman" w:hAnsi="Times New Roman" w:cs="Times New Roman"/>
          <w:sz w:val="24"/>
          <w:szCs w:val="24"/>
        </w:rPr>
      </w:pPr>
      <w:r>
        <w:rPr>
          <w:rFonts w:ascii="Times New Roman" w:hAnsi="Times New Roman" w:cs="Times New Roman"/>
          <w:sz w:val="24"/>
          <w:szCs w:val="24"/>
        </w:rPr>
        <w:t xml:space="preserve">In order to identify larger behavioural patterns of STI epidemiology, these network components must be connected either to each other or other, larger groupings through undisclosed or unidentified links. Infection and recurrent infection in these social groups contributes to the idea that proximity is a significant factor in the endemic propagation of these pathogens. This concept has been explored several times by plotting case incidents in areal geographic units, often observing a ‘core population’ (geographic units with the top 50% of cases) (Rothenberg, 1983; </w:t>
      </w:r>
      <w:proofErr w:type="spellStart"/>
      <w:r>
        <w:rPr>
          <w:rFonts w:ascii="Times New Roman" w:hAnsi="Times New Roman" w:cs="Times New Roman"/>
          <w:sz w:val="24"/>
          <w:szCs w:val="24"/>
        </w:rPr>
        <w:t>Potterat</w:t>
      </w:r>
      <w:proofErr w:type="spellEnd"/>
      <w:r>
        <w:rPr>
          <w:rFonts w:ascii="Times New Roman" w:hAnsi="Times New Roman" w:cs="Times New Roman"/>
          <w:sz w:val="24"/>
          <w:szCs w:val="24"/>
        </w:rPr>
        <w:t xml:space="preserve"> </w:t>
      </w:r>
      <w:r w:rsidRPr="001708C1">
        <w:rPr>
          <w:rFonts w:ascii="Times New Roman" w:hAnsi="Times New Roman" w:cs="Times New Roman"/>
          <w:i/>
          <w:sz w:val="24"/>
          <w:szCs w:val="24"/>
        </w:rPr>
        <w:t>et al</w:t>
      </w:r>
      <w:r>
        <w:rPr>
          <w:rFonts w:ascii="Times New Roman" w:hAnsi="Times New Roman" w:cs="Times New Roman"/>
          <w:sz w:val="24"/>
          <w:szCs w:val="24"/>
        </w:rPr>
        <w:t xml:space="preserve">., 1984; Becker </w:t>
      </w:r>
      <w:r w:rsidRPr="001708C1">
        <w:rPr>
          <w:rFonts w:ascii="Times New Roman" w:hAnsi="Times New Roman" w:cs="Times New Roman"/>
          <w:i/>
          <w:sz w:val="24"/>
          <w:szCs w:val="24"/>
        </w:rPr>
        <w:t>et al</w:t>
      </w:r>
      <w:r>
        <w:rPr>
          <w:rFonts w:ascii="Times New Roman" w:hAnsi="Times New Roman" w:cs="Times New Roman"/>
          <w:sz w:val="24"/>
          <w:szCs w:val="24"/>
        </w:rPr>
        <w:t xml:space="preserve">., 1998). While geographic clustering of events is likely and often unsurprising in analysis of STI incidents, the fact that their spread is dependent on interaction means that social clustering (even where it involves significant distance between involved parties’ home locations) is as important as geographic clustering. Mapping linear connections between individuals has reinforced the idea of the ‘core population’ in STI/BBP incidence among sexual contacts and suggested that small distances are a determinant in risk behaviour participation among social contacts (Rothenberg et al, 2005; </w:t>
      </w:r>
      <w:r w:rsidRPr="007A0556">
        <w:rPr>
          <w:rFonts w:ascii="Times New Roman" w:hAnsi="Times New Roman" w:cs="Times New Roman"/>
          <w:sz w:val="24"/>
          <w:szCs w:val="24"/>
        </w:rPr>
        <w:t>Shane</w:t>
      </w:r>
      <w:r w:rsidR="007A0556">
        <w:rPr>
          <w:rFonts w:ascii="Times New Roman" w:hAnsi="Times New Roman" w:cs="Times New Roman"/>
          <w:sz w:val="24"/>
          <w:szCs w:val="24"/>
        </w:rPr>
        <w:t>, 2013</w:t>
      </w:r>
      <w:r>
        <w:rPr>
          <w:rFonts w:ascii="Times New Roman" w:hAnsi="Times New Roman" w:cs="Times New Roman"/>
          <w:sz w:val="24"/>
          <w:szCs w:val="24"/>
        </w:rPr>
        <w:t>).</w:t>
      </w:r>
    </w:p>
    <w:p w:rsidR="00114496" w:rsidRPr="00E97D11" w:rsidRDefault="00E97D11" w:rsidP="00E97D11">
      <w:pPr>
        <w:rPr>
          <w:rFonts w:ascii="Times New Roman" w:hAnsi="Times New Roman" w:cs="Times New Roman"/>
          <w:sz w:val="24"/>
          <w:szCs w:val="24"/>
        </w:rPr>
      </w:pPr>
      <w:r>
        <w:rPr>
          <w:rFonts w:ascii="Times New Roman" w:hAnsi="Times New Roman" w:cs="Times New Roman"/>
          <w:sz w:val="24"/>
          <w:szCs w:val="24"/>
        </w:rPr>
        <w:t xml:space="preserve">However, individuals in the same </w:t>
      </w:r>
      <w:proofErr w:type="spellStart"/>
      <w:r>
        <w:rPr>
          <w:rFonts w:ascii="Times New Roman" w:hAnsi="Times New Roman" w:cs="Times New Roman"/>
          <w:sz w:val="24"/>
          <w:szCs w:val="24"/>
        </w:rPr>
        <w:t>sociosexual</w:t>
      </w:r>
      <w:proofErr w:type="spellEnd"/>
      <w:r>
        <w:rPr>
          <w:rFonts w:ascii="Times New Roman" w:hAnsi="Times New Roman" w:cs="Times New Roman"/>
          <w:sz w:val="24"/>
          <w:szCs w:val="24"/>
        </w:rPr>
        <w:t xml:space="preserve"> network may be located in geographically distant communities, seemingly isolated from each other but connected through the personal timelines and travel of others. De </w:t>
      </w:r>
      <w:r>
        <w:rPr>
          <w:rFonts w:ascii="Times New Roman" w:hAnsi="Times New Roman" w:cs="Times New Roman"/>
          <w:i/>
          <w:sz w:val="24"/>
          <w:szCs w:val="24"/>
        </w:rPr>
        <w:t>et al</w:t>
      </w:r>
      <w:r>
        <w:rPr>
          <w:rFonts w:ascii="Times New Roman" w:hAnsi="Times New Roman" w:cs="Times New Roman"/>
          <w:sz w:val="24"/>
          <w:szCs w:val="24"/>
        </w:rPr>
        <w:t xml:space="preserve">. (2004) linked STI surveillance records of individuals to the social venues contacts mentioned. Their results demonstrated that a gonorrhea outbreak in northern Albertan communities could be traced back to eighteen </w:t>
      </w:r>
      <w:proofErr w:type="spellStart"/>
      <w:r>
        <w:rPr>
          <w:rFonts w:ascii="Times New Roman" w:hAnsi="Times New Roman" w:cs="Times New Roman"/>
          <w:sz w:val="24"/>
          <w:szCs w:val="24"/>
        </w:rPr>
        <w:t>sociosexual</w:t>
      </w:r>
      <w:proofErr w:type="spellEnd"/>
      <w:r>
        <w:rPr>
          <w:rFonts w:ascii="Times New Roman" w:hAnsi="Times New Roman" w:cs="Times New Roman"/>
          <w:sz w:val="24"/>
          <w:szCs w:val="24"/>
        </w:rPr>
        <w:t xml:space="preserve"> network members who </w:t>
      </w:r>
      <w:r>
        <w:rPr>
          <w:rFonts w:ascii="Times New Roman" w:hAnsi="Times New Roman" w:cs="Times New Roman"/>
          <w:sz w:val="24"/>
          <w:szCs w:val="24"/>
        </w:rPr>
        <w:lastRenderedPageBreak/>
        <w:t>would not know each other normally but who met a sexual partner at the same bar; the bar itself created many links in a network that may otherwise not have formed.</w:t>
      </w:r>
    </w:p>
    <w:p w:rsidR="00E97D11" w:rsidRDefault="00114496" w:rsidP="00114496">
      <w:pPr>
        <w:rPr>
          <w:rFonts w:ascii="Times New Roman" w:hAnsi="Times New Roman" w:cs="Times New Roman"/>
          <w:sz w:val="24"/>
          <w:szCs w:val="24"/>
        </w:rPr>
      </w:pPr>
      <w:r w:rsidRPr="00A22603">
        <w:rPr>
          <w:rFonts w:ascii="Times New Roman" w:hAnsi="Times New Roman" w:cs="Times New Roman"/>
          <w:sz w:val="24"/>
          <w:szCs w:val="24"/>
        </w:rPr>
        <w:t xml:space="preserve">The </w:t>
      </w:r>
      <w:r w:rsidRPr="00E97D11">
        <w:rPr>
          <w:rFonts w:ascii="Times New Roman" w:hAnsi="Times New Roman" w:cs="Times New Roman"/>
          <w:i/>
          <w:sz w:val="24"/>
          <w:szCs w:val="24"/>
        </w:rPr>
        <w:t>place</w:t>
      </w:r>
      <w:r w:rsidRPr="00A22603">
        <w:rPr>
          <w:rFonts w:ascii="Times New Roman" w:hAnsi="Times New Roman" w:cs="Times New Roman"/>
          <w:sz w:val="24"/>
          <w:szCs w:val="24"/>
        </w:rPr>
        <w:t xml:space="preserve"> that individuals engage in </w:t>
      </w:r>
      <w:r w:rsidR="00A22603" w:rsidRPr="00A22603">
        <w:rPr>
          <w:rFonts w:ascii="Times New Roman" w:hAnsi="Times New Roman" w:cs="Times New Roman"/>
          <w:sz w:val="24"/>
          <w:szCs w:val="24"/>
        </w:rPr>
        <w:t xml:space="preserve">risk-related behaviours may be as much a part of the network of activity as the people they </w:t>
      </w:r>
      <w:r w:rsidR="00E97D11">
        <w:rPr>
          <w:rFonts w:ascii="Times New Roman" w:hAnsi="Times New Roman" w:cs="Times New Roman"/>
          <w:sz w:val="24"/>
          <w:szCs w:val="24"/>
        </w:rPr>
        <w:t>connect</w:t>
      </w:r>
      <w:r w:rsidR="00A22603" w:rsidRPr="00A22603">
        <w:rPr>
          <w:rFonts w:ascii="Times New Roman" w:hAnsi="Times New Roman" w:cs="Times New Roman"/>
          <w:sz w:val="24"/>
          <w:szCs w:val="24"/>
        </w:rPr>
        <w:t xml:space="preserve"> with. </w:t>
      </w:r>
      <w:r w:rsidR="00E97D11">
        <w:rPr>
          <w:rFonts w:ascii="Times New Roman" w:hAnsi="Times New Roman" w:cs="Times New Roman"/>
          <w:sz w:val="24"/>
          <w:szCs w:val="24"/>
        </w:rPr>
        <w:t xml:space="preserve">This notion was explored by Cummins </w:t>
      </w:r>
      <w:r w:rsidR="00E97D11">
        <w:rPr>
          <w:rFonts w:ascii="Times New Roman" w:hAnsi="Times New Roman" w:cs="Times New Roman"/>
          <w:i/>
          <w:sz w:val="24"/>
          <w:szCs w:val="24"/>
        </w:rPr>
        <w:t>et al.</w:t>
      </w:r>
      <w:r w:rsidR="00E97D11">
        <w:rPr>
          <w:rFonts w:ascii="Times New Roman" w:hAnsi="Times New Roman" w:cs="Times New Roman"/>
          <w:sz w:val="24"/>
          <w:szCs w:val="24"/>
        </w:rPr>
        <w:t xml:space="preserve"> (2007), who suggested that application of place to health solutions has relied too much on the conventional, Euclidean view of space in the past. Instead a relational perspective to place and distance is suggested for handling concepts of location where individuals are concerned. For example, t</w:t>
      </w:r>
      <w:r w:rsidR="00A22603" w:rsidRPr="00A22603">
        <w:rPr>
          <w:rFonts w:ascii="Times New Roman" w:hAnsi="Times New Roman" w:cs="Times New Roman"/>
          <w:sz w:val="24"/>
          <w:szCs w:val="24"/>
        </w:rPr>
        <w:t xml:space="preserve">wo people may continually live in very distant locations but their relational activity space – attending the same school for a period of time, visiting the same location while traveling – can bring them very close together. </w:t>
      </w:r>
      <w:r w:rsidR="00E97D11" w:rsidRPr="00A22603">
        <w:rPr>
          <w:rFonts w:ascii="Times New Roman" w:hAnsi="Times New Roman" w:cs="Times New Roman"/>
          <w:sz w:val="24"/>
          <w:szCs w:val="24"/>
        </w:rPr>
        <w:t>Embracing the idea that geographic position of resources or actors is not the only determinant, and that social networks and social power also impact transmission, can help realize relativistic distance in health solutions.</w:t>
      </w:r>
      <w:r w:rsidR="00C83501">
        <w:rPr>
          <w:rFonts w:ascii="Times New Roman" w:hAnsi="Times New Roman" w:cs="Times New Roman"/>
          <w:sz w:val="24"/>
          <w:szCs w:val="24"/>
        </w:rPr>
        <w:t xml:space="preserve"> Thus, the place that vulnerable individuals engage in risk-related behaviours may be as much a part of the network of activity as the people they associate with. </w:t>
      </w:r>
      <w:r w:rsidR="00C83501" w:rsidRPr="00A22603">
        <w:rPr>
          <w:rFonts w:ascii="Times New Roman" w:hAnsi="Times New Roman" w:cs="Times New Roman"/>
          <w:sz w:val="24"/>
          <w:szCs w:val="24"/>
        </w:rPr>
        <w:t>This project continues the exploration of locations</w:t>
      </w:r>
      <w:r w:rsidR="00C83501">
        <w:rPr>
          <w:rFonts w:ascii="Times New Roman" w:hAnsi="Times New Roman" w:cs="Times New Roman"/>
          <w:sz w:val="24"/>
          <w:szCs w:val="24"/>
        </w:rPr>
        <w:t xml:space="preserve"> by examining whether mapping social behaviours is reflected in the prevalence of specific risk-related social venues.</w:t>
      </w:r>
    </w:p>
    <w:p w:rsidR="000D4237" w:rsidRPr="00BE084C" w:rsidRDefault="000D4237" w:rsidP="000D4237">
      <w:pPr>
        <w:pStyle w:val="Heading2"/>
        <w:rPr>
          <w:color w:val="auto"/>
        </w:rPr>
      </w:pPr>
      <w:r w:rsidRPr="00BE084C">
        <w:rPr>
          <w:color w:val="auto"/>
        </w:rPr>
        <w:t>Methods</w:t>
      </w:r>
    </w:p>
    <w:p w:rsidR="009C0A08" w:rsidRDefault="009C0A08" w:rsidP="000D4237">
      <w:pPr>
        <w:rPr>
          <w:rFonts w:ascii="Times New Roman" w:hAnsi="Times New Roman" w:cs="Times New Roman"/>
          <w:sz w:val="24"/>
          <w:szCs w:val="24"/>
        </w:rPr>
      </w:pPr>
      <w:r>
        <w:rPr>
          <w:rFonts w:ascii="Times New Roman" w:hAnsi="Times New Roman" w:cs="Times New Roman"/>
          <w:sz w:val="24"/>
          <w:szCs w:val="24"/>
        </w:rPr>
        <w:t xml:space="preserve">To reach these objectives, data was obtained from a 2009 study commissioned by the </w:t>
      </w:r>
      <w:r w:rsidR="00ED75CB">
        <w:rPr>
          <w:rFonts w:ascii="Times New Roman" w:hAnsi="Times New Roman" w:cs="Times New Roman"/>
          <w:sz w:val="24"/>
          <w:szCs w:val="24"/>
        </w:rPr>
        <w:t>Canadian Institute of Health Research (</w:t>
      </w:r>
      <w:r>
        <w:rPr>
          <w:rFonts w:ascii="Times New Roman" w:hAnsi="Times New Roman" w:cs="Times New Roman"/>
          <w:sz w:val="24"/>
          <w:szCs w:val="24"/>
        </w:rPr>
        <w:t>CIHR</w:t>
      </w:r>
      <w:r w:rsidR="00ED75CB">
        <w:rPr>
          <w:rFonts w:ascii="Times New Roman" w:hAnsi="Times New Roman" w:cs="Times New Roman"/>
          <w:sz w:val="24"/>
          <w:szCs w:val="24"/>
        </w:rPr>
        <w:t>)</w:t>
      </w:r>
      <w:r>
        <w:rPr>
          <w:rFonts w:ascii="Times New Roman" w:hAnsi="Times New Roman" w:cs="Times New Roman"/>
          <w:sz w:val="24"/>
          <w:szCs w:val="24"/>
        </w:rPr>
        <w:t xml:space="preserve"> entitled “The behavioural, social and cultural factors affecting the epidemiology of sexually transmitted and </w:t>
      </w:r>
      <w:proofErr w:type="spellStart"/>
      <w:r>
        <w:rPr>
          <w:rFonts w:ascii="Times New Roman" w:hAnsi="Times New Roman" w:cs="Times New Roman"/>
          <w:sz w:val="24"/>
          <w:szCs w:val="24"/>
        </w:rPr>
        <w:t>bloodborne</w:t>
      </w:r>
      <w:proofErr w:type="spellEnd"/>
      <w:r>
        <w:rPr>
          <w:rFonts w:ascii="Times New Roman" w:hAnsi="Times New Roman" w:cs="Times New Roman"/>
          <w:sz w:val="24"/>
          <w:szCs w:val="24"/>
        </w:rPr>
        <w:t xml:space="preserve"> pathogens in high risk populations: Determining risk space in Canada’s populations”. Information from 600 individuals in Winnipeg, Manitoba was collected by a respondent-driven sampling </w:t>
      </w:r>
      <w:r w:rsidR="00ED75CB">
        <w:rPr>
          <w:rFonts w:ascii="Times New Roman" w:hAnsi="Times New Roman" w:cs="Times New Roman"/>
          <w:sz w:val="24"/>
          <w:szCs w:val="24"/>
        </w:rPr>
        <w:t>(RDS) method as described by</w:t>
      </w:r>
      <w:r>
        <w:rPr>
          <w:rFonts w:ascii="Times New Roman" w:hAnsi="Times New Roman" w:cs="Times New Roman"/>
          <w:sz w:val="24"/>
          <w:szCs w:val="24"/>
        </w:rPr>
        <w:t xml:space="preserve"> Jolly and Wylie (2013). This data did not include identifying information; records identified an individual only by the unique code on the RDS coupon they obtai</w:t>
      </w:r>
      <w:r w:rsidR="00FC2939">
        <w:rPr>
          <w:rFonts w:ascii="Times New Roman" w:hAnsi="Times New Roman" w:cs="Times New Roman"/>
          <w:sz w:val="24"/>
          <w:szCs w:val="24"/>
        </w:rPr>
        <w:t>ned. Participants were questioned</w:t>
      </w:r>
      <w:r>
        <w:rPr>
          <w:rFonts w:ascii="Times New Roman" w:hAnsi="Times New Roman" w:cs="Times New Roman"/>
          <w:sz w:val="24"/>
          <w:szCs w:val="24"/>
        </w:rPr>
        <w:t xml:space="preserve"> by community health workers regarding their behaviours and individual risk factors. Data for each individual included gender, infection types (e.g. HIV, Hepatitis C, chlamydia, gonorrhea, and infectious syphilis), laboratory-confirmed infection status (e.g. positive, negative and inconclusive), and geographic information of current residence and activity sites (e.g. IDU, </w:t>
      </w:r>
      <w:r w:rsidR="00ED75CB">
        <w:rPr>
          <w:rFonts w:ascii="Times New Roman" w:hAnsi="Times New Roman" w:cs="Times New Roman"/>
          <w:sz w:val="24"/>
          <w:szCs w:val="24"/>
        </w:rPr>
        <w:t>sex client pickup, sex worker pickup</w:t>
      </w:r>
      <w:r>
        <w:rPr>
          <w:rFonts w:ascii="Times New Roman" w:hAnsi="Times New Roman" w:cs="Times New Roman"/>
          <w:sz w:val="24"/>
          <w:szCs w:val="24"/>
        </w:rPr>
        <w:t>) reported as the name of the place or nearest intersection.</w:t>
      </w:r>
    </w:p>
    <w:p w:rsidR="009C0A08" w:rsidRDefault="009C0A08" w:rsidP="000D4237">
      <w:pPr>
        <w:rPr>
          <w:rFonts w:ascii="Times New Roman" w:hAnsi="Times New Roman" w:cs="Times New Roman"/>
          <w:sz w:val="24"/>
          <w:szCs w:val="24"/>
        </w:rPr>
      </w:pPr>
      <w:r>
        <w:rPr>
          <w:rFonts w:ascii="Times New Roman" w:hAnsi="Times New Roman" w:cs="Times New Roman"/>
          <w:sz w:val="24"/>
          <w:szCs w:val="24"/>
        </w:rPr>
        <w:t xml:space="preserve">Geographic locations were manually geocoded in QGIS 1.8 </w:t>
      </w:r>
      <w:r w:rsidR="005E4141">
        <w:rPr>
          <w:rFonts w:ascii="Times New Roman" w:hAnsi="Times New Roman" w:cs="Times New Roman"/>
          <w:sz w:val="24"/>
          <w:szCs w:val="24"/>
        </w:rPr>
        <w:t>(</w:t>
      </w:r>
      <w:hyperlink r:id="rId8" w:history="1">
        <w:r w:rsidR="005E4141" w:rsidRPr="00F609E4">
          <w:rPr>
            <w:rStyle w:val="Hyperlink"/>
            <w:rFonts w:ascii="Times New Roman" w:hAnsi="Times New Roman" w:cs="Times New Roman"/>
            <w:sz w:val="24"/>
            <w:szCs w:val="24"/>
          </w:rPr>
          <w:t>www.qgis.com</w:t>
        </w:r>
      </w:hyperlink>
      <w:r w:rsidR="005E4141">
        <w:rPr>
          <w:rFonts w:ascii="Times New Roman" w:hAnsi="Times New Roman" w:cs="Times New Roman"/>
          <w:sz w:val="24"/>
          <w:szCs w:val="24"/>
        </w:rPr>
        <w:t xml:space="preserve">) </w:t>
      </w:r>
      <w:r>
        <w:rPr>
          <w:rFonts w:ascii="Times New Roman" w:hAnsi="Times New Roman" w:cs="Times New Roman"/>
          <w:sz w:val="24"/>
          <w:szCs w:val="24"/>
        </w:rPr>
        <w:t>using Open Street Map (</w:t>
      </w:r>
      <w:hyperlink r:id="rId9" w:history="1">
        <w:r w:rsidRPr="00B04CAF">
          <w:rPr>
            <w:rStyle w:val="Hyperlink"/>
            <w:rFonts w:ascii="Times New Roman" w:hAnsi="Times New Roman" w:cs="Times New Roman"/>
            <w:sz w:val="24"/>
            <w:szCs w:val="24"/>
          </w:rPr>
          <w:t>www.openstreetmap.org</w:t>
        </w:r>
      </w:hyperlink>
      <w:r w:rsidR="00F71CE7">
        <w:rPr>
          <w:rFonts w:ascii="Times New Roman" w:hAnsi="Times New Roman" w:cs="Times New Roman"/>
          <w:sz w:val="24"/>
          <w:szCs w:val="24"/>
        </w:rPr>
        <w:t xml:space="preserve">) as a </w:t>
      </w:r>
      <w:proofErr w:type="spellStart"/>
      <w:r w:rsidR="00F71CE7">
        <w:rPr>
          <w:rFonts w:ascii="Times New Roman" w:hAnsi="Times New Roman" w:cs="Times New Roman"/>
          <w:sz w:val="24"/>
          <w:szCs w:val="24"/>
        </w:rPr>
        <w:t>basemap</w:t>
      </w:r>
      <w:proofErr w:type="spellEnd"/>
      <w:r>
        <w:rPr>
          <w:rFonts w:ascii="Times New Roman" w:hAnsi="Times New Roman" w:cs="Times New Roman"/>
          <w:sz w:val="24"/>
          <w:szCs w:val="24"/>
        </w:rPr>
        <w:t xml:space="preserve">. Location names were populated in the format “Street 1 / Street 2” and validated so the reciprocal combination did not appear in the processed data. Thus, each geographic location contained a latitude and longitude to represent either a street intersection or place name. A total of </w:t>
      </w:r>
      <w:r w:rsidR="00D24F50">
        <w:rPr>
          <w:rFonts w:ascii="Times New Roman" w:hAnsi="Times New Roman" w:cs="Times New Roman"/>
          <w:sz w:val="24"/>
          <w:szCs w:val="24"/>
        </w:rPr>
        <w:t xml:space="preserve">719 locations were geocoded; 101 </w:t>
      </w:r>
      <w:r w:rsidR="00074920">
        <w:rPr>
          <w:rFonts w:ascii="Times New Roman" w:hAnsi="Times New Roman" w:cs="Times New Roman"/>
          <w:sz w:val="24"/>
          <w:szCs w:val="24"/>
        </w:rPr>
        <w:t xml:space="preserve">of these were unique location names among risk-related activity sites (IDU or </w:t>
      </w:r>
      <w:r w:rsidR="006A559D">
        <w:rPr>
          <w:rFonts w:ascii="Times New Roman" w:hAnsi="Times New Roman" w:cs="Times New Roman"/>
          <w:sz w:val="24"/>
          <w:szCs w:val="24"/>
        </w:rPr>
        <w:t>sex trade transactions</w:t>
      </w:r>
      <w:r w:rsidR="00074920">
        <w:rPr>
          <w:rFonts w:ascii="Times New Roman" w:hAnsi="Times New Roman" w:cs="Times New Roman"/>
          <w:sz w:val="24"/>
          <w:szCs w:val="24"/>
        </w:rPr>
        <w:t xml:space="preserve">) and will be referred to as R1 to R101 where R denotes </w:t>
      </w:r>
      <w:r w:rsidR="00FC2939">
        <w:rPr>
          <w:rFonts w:ascii="Times New Roman" w:hAnsi="Times New Roman" w:cs="Times New Roman"/>
          <w:sz w:val="24"/>
          <w:szCs w:val="24"/>
        </w:rPr>
        <w:t>its role in risk behaviours</w:t>
      </w:r>
      <w:r w:rsidR="00074920">
        <w:rPr>
          <w:rFonts w:ascii="Times New Roman" w:hAnsi="Times New Roman" w:cs="Times New Roman"/>
          <w:sz w:val="24"/>
          <w:szCs w:val="24"/>
        </w:rPr>
        <w:t>.</w:t>
      </w:r>
    </w:p>
    <w:p w:rsidR="00074920" w:rsidRDefault="00074920" w:rsidP="000D4237">
      <w:pPr>
        <w:rPr>
          <w:rFonts w:ascii="Times New Roman" w:hAnsi="Times New Roman" w:cs="Times New Roman"/>
          <w:sz w:val="24"/>
          <w:szCs w:val="24"/>
        </w:rPr>
      </w:pPr>
      <w:r>
        <w:rPr>
          <w:rFonts w:ascii="Times New Roman" w:hAnsi="Times New Roman" w:cs="Times New Roman"/>
          <w:sz w:val="24"/>
          <w:szCs w:val="24"/>
        </w:rPr>
        <w:lastRenderedPageBreak/>
        <w:t xml:space="preserve">Problems </w:t>
      </w:r>
      <w:r w:rsidR="00FC2939">
        <w:rPr>
          <w:rFonts w:ascii="Times New Roman" w:hAnsi="Times New Roman" w:cs="Times New Roman"/>
          <w:sz w:val="24"/>
          <w:szCs w:val="24"/>
        </w:rPr>
        <w:t xml:space="preserve">were </w:t>
      </w:r>
      <w:r>
        <w:rPr>
          <w:rFonts w:ascii="Times New Roman" w:hAnsi="Times New Roman" w:cs="Times New Roman"/>
          <w:sz w:val="24"/>
          <w:szCs w:val="24"/>
        </w:rPr>
        <w:t xml:space="preserve">encountered while geocoding </w:t>
      </w:r>
      <w:r w:rsidR="00FC2939">
        <w:rPr>
          <w:rFonts w:ascii="Times New Roman" w:hAnsi="Times New Roman" w:cs="Times New Roman"/>
          <w:sz w:val="24"/>
          <w:szCs w:val="24"/>
        </w:rPr>
        <w:t>due to</w:t>
      </w:r>
      <w:r>
        <w:rPr>
          <w:rFonts w:ascii="Times New Roman" w:hAnsi="Times New Roman" w:cs="Times New Roman"/>
          <w:sz w:val="24"/>
          <w:szCs w:val="24"/>
        </w:rPr>
        <w:t xml:space="preserve"> naming conventions used by participants. For cases where the same place was referenced using two different</w:t>
      </w:r>
      <w:r w:rsidR="00FC2939">
        <w:rPr>
          <w:rFonts w:ascii="Times New Roman" w:hAnsi="Times New Roman" w:cs="Times New Roman"/>
          <w:sz w:val="24"/>
          <w:szCs w:val="24"/>
        </w:rPr>
        <w:t xml:space="preserve"> names (e.g. Higgins Park versu</w:t>
      </w:r>
      <w:r>
        <w:rPr>
          <w:rFonts w:ascii="Times New Roman" w:hAnsi="Times New Roman" w:cs="Times New Roman"/>
          <w:sz w:val="24"/>
          <w:szCs w:val="24"/>
        </w:rPr>
        <w:t>s the intersection known as Higgins Ave / Main Street), clarification was obtained from the health care worker who conducted the survey. The location was confirmed as green space at the corner of Higgins Avenue and Main Street (</w:t>
      </w:r>
      <w:r w:rsidR="00F71CE7">
        <w:rPr>
          <w:rFonts w:ascii="Times New Roman" w:hAnsi="Times New Roman" w:cs="Times New Roman"/>
          <w:sz w:val="24"/>
          <w:szCs w:val="24"/>
        </w:rPr>
        <w:t xml:space="preserve">M. </w:t>
      </w:r>
      <w:proofErr w:type="spellStart"/>
      <w:r>
        <w:rPr>
          <w:rFonts w:ascii="Times New Roman" w:hAnsi="Times New Roman" w:cs="Times New Roman"/>
          <w:sz w:val="24"/>
          <w:szCs w:val="24"/>
        </w:rPr>
        <w:t>Ormand</w:t>
      </w:r>
      <w:proofErr w:type="spellEnd"/>
      <w:r>
        <w:rPr>
          <w:rFonts w:ascii="Times New Roman" w:hAnsi="Times New Roman" w:cs="Times New Roman"/>
          <w:sz w:val="24"/>
          <w:szCs w:val="24"/>
        </w:rPr>
        <w:t xml:space="preserve">, </w:t>
      </w:r>
      <w:r w:rsidR="00F71CE7">
        <w:rPr>
          <w:rFonts w:ascii="Times New Roman" w:hAnsi="Times New Roman" w:cs="Times New Roman"/>
          <w:sz w:val="24"/>
          <w:szCs w:val="24"/>
        </w:rPr>
        <w:t xml:space="preserve">personal communication, January 23, </w:t>
      </w:r>
      <w:r>
        <w:rPr>
          <w:rFonts w:ascii="Times New Roman" w:hAnsi="Times New Roman" w:cs="Times New Roman"/>
          <w:sz w:val="24"/>
          <w:szCs w:val="24"/>
        </w:rPr>
        <w:t xml:space="preserve">2014). Therefore, mentions of Higgins Park were recoded as “Higgins / Main”. High </w:t>
      </w:r>
      <w:proofErr w:type="spellStart"/>
      <w:r>
        <w:rPr>
          <w:rFonts w:ascii="Times New Roman" w:hAnsi="Times New Roman" w:cs="Times New Roman"/>
          <w:sz w:val="24"/>
          <w:szCs w:val="24"/>
        </w:rPr>
        <w:t>geolocation</w:t>
      </w:r>
      <w:proofErr w:type="spellEnd"/>
      <w:r>
        <w:rPr>
          <w:rFonts w:ascii="Times New Roman" w:hAnsi="Times New Roman" w:cs="Times New Roman"/>
          <w:sz w:val="24"/>
          <w:szCs w:val="24"/>
        </w:rPr>
        <w:t xml:space="preserve"> rates were achieved for all site types, b</w:t>
      </w:r>
      <w:r w:rsidR="00FC2939">
        <w:rPr>
          <w:rFonts w:ascii="Times New Roman" w:hAnsi="Times New Roman" w:cs="Times New Roman"/>
          <w:sz w:val="24"/>
          <w:szCs w:val="24"/>
        </w:rPr>
        <w:t>oth residence (93.2%) and “hang</w:t>
      </w:r>
      <w:r>
        <w:rPr>
          <w:rFonts w:ascii="Times New Roman" w:hAnsi="Times New Roman" w:cs="Times New Roman"/>
          <w:sz w:val="24"/>
          <w:szCs w:val="24"/>
        </w:rPr>
        <w:t xml:space="preserve">outs” (IDU (85.1%), </w:t>
      </w:r>
      <w:r w:rsidR="006F22A9">
        <w:rPr>
          <w:rFonts w:ascii="Times New Roman" w:hAnsi="Times New Roman" w:cs="Times New Roman"/>
          <w:sz w:val="24"/>
          <w:szCs w:val="24"/>
        </w:rPr>
        <w:t xml:space="preserve">sites a sex client was met (84.8%) and sites a sex worker was met (87.5%)). Less than 9% of the locations could not be geocoded. Sites were not </w:t>
      </w:r>
      <w:proofErr w:type="spellStart"/>
      <w:r w:rsidR="006F22A9">
        <w:rPr>
          <w:rFonts w:ascii="Times New Roman" w:hAnsi="Times New Roman" w:cs="Times New Roman"/>
          <w:sz w:val="24"/>
          <w:szCs w:val="24"/>
        </w:rPr>
        <w:t>geolocated</w:t>
      </w:r>
      <w:proofErr w:type="spellEnd"/>
      <w:r w:rsidR="006F22A9">
        <w:rPr>
          <w:rFonts w:ascii="Times New Roman" w:hAnsi="Times New Roman" w:cs="Times New Roman"/>
          <w:sz w:val="24"/>
          <w:szCs w:val="24"/>
        </w:rPr>
        <w:t xml:space="preserve"> where guessing would have led to estimated coordinates. </w:t>
      </w:r>
      <w:r w:rsidR="006A559D">
        <w:rPr>
          <w:rFonts w:ascii="Times New Roman" w:hAnsi="Times New Roman" w:cs="Times New Roman"/>
          <w:sz w:val="24"/>
          <w:szCs w:val="24"/>
        </w:rPr>
        <w:t>Sites were omitted spatially if misspelled street names were unidentifiable</w:t>
      </w:r>
      <w:r w:rsidR="009040AE">
        <w:rPr>
          <w:rFonts w:ascii="Times New Roman" w:hAnsi="Times New Roman" w:cs="Times New Roman"/>
          <w:sz w:val="24"/>
          <w:szCs w:val="24"/>
        </w:rPr>
        <w:t xml:space="preserve">, </w:t>
      </w:r>
      <w:r w:rsidR="006A559D">
        <w:rPr>
          <w:rFonts w:ascii="Times New Roman" w:hAnsi="Times New Roman" w:cs="Times New Roman"/>
          <w:sz w:val="24"/>
          <w:szCs w:val="24"/>
        </w:rPr>
        <w:t>if generic areas were named</w:t>
      </w:r>
      <w:r w:rsidR="009040AE">
        <w:rPr>
          <w:rFonts w:ascii="Times New Roman" w:hAnsi="Times New Roman" w:cs="Times New Roman"/>
          <w:sz w:val="24"/>
          <w:szCs w:val="24"/>
        </w:rPr>
        <w:t xml:space="preserve"> (e.g. “Main Street”, “all over”, “downtown”, or “riverbank”), and if two streets were parallel.</w:t>
      </w:r>
    </w:p>
    <w:p w:rsidR="009C0A08" w:rsidRDefault="006F22A9" w:rsidP="006F22A9">
      <w:pPr>
        <w:pStyle w:val="Heading3"/>
      </w:pPr>
      <w:r>
        <w:t>Social Network Analysis</w:t>
      </w:r>
    </w:p>
    <w:p w:rsidR="006F22A9" w:rsidRDefault="00AD7E1A" w:rsidP="00AD7E1A">
      <w:pPr>
        <w:rPr>
          <w:rFonts w:ascii="Times New Roman" w:hAnsi="Times New Roman" w:cs="Times New Roman"/>
          <w:sz w:val="24"/>
          <w:szCs w:val="24"/>
        </w:rPr>
      </w:pPr>
      <w:r>
        <w:rPr>
          <w:rFonts w:ascii="Times New Roman" w:hAnsi="Times New Roman" w:cs="Times New Roman"/>
          <w:sz w:val="24"/>
          <w:szCs w:val="24"/>
        </w:rPr>
        <w:t xml:space="preserve">Network theory is applied to social relationships to measure social “distance” between individuals, the structure of a community of connected people, and to identify who the </w:t>
      </w:r>
      <w:r w:rsidR="00863959">
        <w:rPr>
          <w:rFonts w:ascii="Times New Roman" w:hAnsi="Times New Roman" w:cs="Times New Roman"/>
          <w:sz w:val="24"/>
          <w:szCs w:val="24"/>
        </w:rPr>
        <w:t xml:space="preserve">central figures are </w:t>
      </w:r>
      <w:r>
        <w:rPr>
          <w:rFonts w:ascii="Times New Roman" w:hAnsi="Times New Roman" w:cs="Times New Roman"/>
          <w:sz w:val="24"/>
          <w:szCs w:val="24"/>
        </w:rPr>
        <w:t xml:space="preserve">in that social structure. By including sites mentioned for risk-related activities as nodes in the social network, the </w:t>
      </w:r>
      <w:r w:rsidR="00BD6FA4">
        <w:rPr>
          <w:rFonts w:ascii="Times New Roman" w:hAnsi="Times New Roman" w:cs="Times New Roman"/>
          <w:sz w:val="24"/>
          <w:szCs w:val="24"/>
        </w:rPr>
        <w:t>significance</w:t>
      </w:r>
      <w:r>
        <w:rPr>
          <w:rFonts w:ascii="Times New Roman" w:hAnsi="Times New Roman" w:cs="Times New Roman"/>
          <w:sz w:val="24"/>
          <w:szCs w:val="24"/>
        </w:rPr>
        <w:t xml:space="preserve"> of individuals and locations </w:t>
      </w:r>
      <w:r w:rsidR="00BD6FA4">
        <w:rPr>
          <w:rFonts w:ascii="Times New Roman" w:hAnsi="Times New Roman" w:cs="Times New Roman"/>
          <w:sz w:val="24"/>
          <w:szCs w:val="24"/>
        </w:rPr>
        <w:t>in STI/BBP exposure risk can be measured together</w:t>
      </w:r>
      <w:r>
        <w:rPr>
          <w:rFonts w:ascii="Times New Roman" w:hAnsi="Times New Roman" w:cs="Times New Roman"/>
          <w:sz w:val="24"/>
          <w:szCs w:val="24"/>
        </w:rPr>
        <w:t>.</w:t>
      </w:r>
      <w:r w:rsidR="00863959">
        <w:rPr>
          <w:rFonts w:ascii="Times New Roman" w:hAnsi="Times New Roman" w:cs="Times New Roman"/>
          <w:sz w:val="24"/>
          <w:szCs w:val="24"/>
        </w:rPr>
        <w:t xml:space="preserve"> To this end, potential social connections that may not otherwise appear in coupon referrals are inferred from shared social behaviours practiced in the same locations.</w:t>
      </w:r>
    </w:p>
    <w:p w:rsidR="00FC2939" w:rsidRDefault="00863959" w:rsidP="00AD7E1A">
      <w:pPr>
        <w:rPr>
          <w:rFonts w:ascii="Times New Roman" w:hAnsi="Times New Roman" w:cs="Times New Roman"/>
          <w:sz w:val="24"/>
          <w:szCs w:val="24"/>
        </w:rPr>
      </w:pPr>
      <w:r>
        <w:rPr>
          <w:rFonts w:ascii="Times New Roman" w:hAnsi="Times New Roman" w:cs="Times New Roman"/>
          <w:sz w:val="24"/>
          <w:szCs w:val="24"/>
        </w:rPr>
        <w:t>Each individu</w:t>
      </w:r>
      <w:r w:rsidR="00FC2939">
        <w:rPr>
          <w:rFonts w:ascii="Times New Roman" w:hAnsi="Times New Roman" w:cs="Times New Roman"/>
          <w:sz w:val="24"/>
          <w:szCs w:val="24"/>
        </w:rPr>
        <w:t>al’s participation in the “hang</w:t>
      </w:r>
      <w:r>
        <w:rPr>
          <w:rFonts w:ascii="Times New Roman" w:hAnsi="Times New Roman" w:cs="Times New Roman"/>
          <w:sz w:val="24"/>
          <w:szCs w:val="24"/>
        </w:rPr>
        <w:t xml:space="preserve">out” activity space was analysed using social network analysis methods. The data were imported into </w:t>
      </w:r>
      <w:proofErr w:type="spellStart"/>
      <w:r>
        <w:rPr>
          <w:rFonts w:ascii="Times New Roman" w:hAnsi="Times New Roman" w:cs="Times New Roman"/>
          <w:sz w:val="24"/>
          <w:szCs w:val="24"/>
        </w:rPr>
        <w:t>Pajek</w:t>
      </w:r>
      <w:proofErr w:type="spellEnd"/>
      <w:r>
        <w:rPr>
          <w:rFonts w:ascii="Times New Roman" w:hAnsi="Times New Roman" w:cs="Times New Roman"/>
          <w:sz w:val="24"/>
          <w:szCs w:val="24"/>
        </w:rPr>
        <w:t xml:space="preserve"> (</w:t>
      </w:r>
      <w:hyperlink r:id="rId10" w:history="1">
        <w:r w:rsidRPr="00B04CAF">
          <w:rPr>
            <w:rStyle w:val="Hyperlink"/>
            <w:rFonts w:ascii="Times New Roman" w:hAnsi="Times New Roman" w:cs="Times New Roman"/>
            <w:sz w:val="24"/>
            <w:szCs w:val="24"/>
          </w:rPr>
          <w:t>http://vlado.fmf.uni-lj.si/pub/networks/pajek/</w:t>
        </w:r>
      </w:hyperlink>
      <w:r w:rsidR="00490A40">
        <w:rPr>
          <w:rFonts w:ascii="Times New Roman" w:hAnsi="Times New Roman" w:cs="Times New Roman"/>
          <w:sz w:val="24"/>
          <w:szCs w:val="24"/>
        </w:rPr>
        <w:t>) (</w:t>
      </w:r>
      <w:proofErr w:type="spellStart"/>
      <w:r w:rsidR="00490A40">
        <w:rPr>
          <w:rFonts w:ascii="Times New Roman" w:hAnsi="Times New Roman" w:cs="Times New Roman"/>
          <w:sz w:val="24"/>
          <w:szCs w:val="24"/>
        </w:rPr>
        <w:t>Batagelj</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Mrvar</w:t>
      </w:r>
      <w:proofErr w:type="spellEnd"/>
      <w:r>
        <w:rPr>
          <w:rFonts w:ascii="Times New Roman" w:hAnsi="Times New Roman" w:cs="Times New Roman"/>
          <w:sz w:val="24"/>
          <w:szCs w:val="24"/>
        </w:rPr>
        <w:t>, 2011) and used to determine the relative importance of individuals and locations in the activity space within the network.</w:t>
      </w:r>
      <w:r w:rsidR="00490A40">
        <w:rPr>
          <w:rFonts w:ascii="Times New Roman" w:hAnsi="Times New Roman" w:cs="Times New Roman"/>
          <w:sz w:val="24"/>
          <w:szCs w:val="24"/>
        </w:rPr>
        <w:t xml:space="preserve"> </w:t>
      </w:r>
      <w:r w:rsidR="00FC2939">
        <w:rPr>
          <w:rFonts w:ascii="Times New Roman" w:hAnsi="Times New Roman" w:cs="Times New Roman"/>
          <w:sz w:val="24"/>
          <w:szCs w:val="24"/>
        </w:rPr>
        <w:t xml:space="preserve">In network theory, a node’s degree is often used to measure its relative importance by counting the number of edges (connections) linking it to other nodes. </w:t>
      </w:r>
      <w:r w:rsidR="002B5E79">
        <w:rPr>
          <w:rFonts w:ascii="Times New Roman" w:hAnsi="Times New Roman" w:cs="Times New Roman"/>
          <w:sz w:val="24"/>
          <w:szCs w:val="24"/>
        </w:rPr>
        <w:t xml:space="preserve">A network partition operation was run in </w:t>
      </w:r>
      <w:proofErr w:type="spellStart"/>
      <w:r w:rsidR="002B5E79">
        <w:rPr>
          <w:rFonts w:ascii="Times New Roman" w:hAnsi="Times New Roman" w:cs="Times New Roman"/>
          <w:sz w:val="24"/>
          <w:szCs w:val="24"/>
        </w:rPr>
        <w:t>Pajek</w:t>
      </w:r>
      <w:proofErr w:type="spellEnd"/>
      <w:r w:rsidR="002B5E79">
        <w:rPr>
          <w:rFonts w:ascii="Times New Roman" w:hAnsi="Times New Roman" w:cs="Times New Roman"/>
          <w:sz w:val="24"/>
          <w:szCs w:val="24"/>
        </w:rPr>
        <w:t xml:space="preserve"> to separate the study responses into connected components – </w:t>
      </w:r>
      <w:proofErr w:type="gramStart"/>
      <w:r w:rsidR="002B5E79">
        <w:rPr>
          <w:rFonts w:ascii="Times New Roman" w:hAnsi="Times New Roman" w:cs="Times New Roman"/>
          <w:sz w:val="24"/>
          <w:szCs w:val="24"/>
        </w:rPr>
        <w:t>subsets</w:t>
      </w:r>
      <w:proofErr w:type="gramEnd"/>
      <w:r w:rsidR="002B5E79">
        <w:rPr>
          <w:rFonts w:ascii="Times New Roman" w:hAnsi="Times New Roman" w:cs="Times New Roman"/>
          <w:sz w:val="24"/>
          <w:szCs w:val="24"/>
        </w:rPr>
        <w:t xml:space="preserve"> in which any two nodes are linked, and to which no additional nodes from other subsets can be connected – where each represented a network of associated people and places</w:t>
      </w:r>
      <w:r w:rsidR="00557DC5">
        <w:rPr>
          <w:rFonts w:ascii="Times New Roman" w:hAnsi="Times New Roman" w:cs="Times New Roman"/>
          <w:sz w:val="24"/>
          <w:szCs w:val="24"/>
        </w:rPr>
        <w:t xml:space="preserve">. </w:t>
      </w:r>
      <w:r w:rsidR="00FC2939">
        <w:rPr>
          <w:rFonts w:ascii="Times New Roman" w:hAnsi="Times New Roman" w:cs="Times New Roman"/>
          <w:sz w:val="24"/>
          <w:szCs w:val="24"/>
        </w:rPr>
        <w:t xml:space="preserve">Since the data collected could only link any individual with just one other respondent and a limited number of sites, another metric was needed </w:t>
      </w:r>
      <w:r w:rsidR="00DB2234">
        <w:rPr>
          <w:rFonts w:ascii="Times New Roman" w:hAnsi="Times New Roman" w:cs="Times New Roman"/>
          <w:sz w:val="24"/>
          <w:szCs w:val="24"/>
        </w:rPr>
        <w:t xml:space="preserve">to estimate social influence. </w:t>
      </w:r>
    </w:p>
    <w:p w:rsidR="00557DC5" w:rsidRDefault="00992FDE" w:rsidP="00AD7E1A">
      <w:pPr>
        <w:rPr>
          <w:rFonts w:ascii="Times New Roman" w:hAnsi="Times New Roman" w:cs="Times New Roman"/>
          <w:sz w:val="24"/>
          <w:szCs w:val="24"/>
        </w:rPr>
      </w:pPr>
      <w:r>
        <w:rPr>
          <w:rFonts w:ascii="Times New Roman" w:hAnsi="Times New Roman" w:cs="Times New Roman"/>
          <w:sz w:val="24"/>
          <w:szCs w:val="24"/>
        </w:rPr>
        <w:t xml:space="preserve">We chose </w:t>
      </w:r>
      <w:proofErr w:type="spellStart"/>
      <w:r>
        <w:rPr>
          <w:rFonts w:ascii="Times New Roman" w:hAnsi="Times New Roman" w:cs="Times New Roman"/>
          <w:sz w:val="24"/>
          <w:szCs w:val="24"/>
        </w:rPr>
        <w:t>betweenness</w:t>
      </w:r>
      <w:proofErr w:type="spellEnd"/>
      <w:r>
        <w:rPr>
          <w:rFonts w:ascii="Times New Roman" w:hAnsi="Times New Roman" w:cs="Times New Roman"/>
          <w:sz w:val="24"/>
          <w:szCs w:val="24"/>
        </w:rPr>
        <w:t xml:space="preserve"> centrality to represent the social importance of each node for its ability to represent how much of a network can be reached by established contacts with each person or location. </w:t>
      </w:r>
      <w:proofErr w:type="spellStart"/>
      <w:proofErr w:type="gramStart"/>
      <w:r>
        <w:rPr>
          <w:rFonts w:ascii="Times New Roman" w:hAnsi="Times New Roman" w:cs="Times New Roman"/>
          <w:sz w:val="24"/>
          <w:szCs w:val="24"/>
        </w:rPr>
        <w:t>Betweenness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succinctly represented as:</w:t>
      </w:r>
    </w:p>
    <w:p w:rsidR="00992FDE" w:rsidRPr="008A3CE7" w:rsidRDefault="003B1A1A" w:rsidP="00AD7E1A">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B</m:t>
              </m:r>
            </m:sub>
          </m:sSub>
          <m:d>
            <m:dPr>
              <m:ctrlPr>
                <w:rPr>
                  <w:rFonts w:ascii="Cambria Math" w:hAnsi="Cambria Math" w:cs="Times New Roman"/>
                  <w:i/>
                  <w:sz w:val="24"/>
                  <w:szCs w:val="24"/>
                </w:rPr>
              </m:ctrlPr>
            </m:dPr>
            <m:e>
              <m:r>
                <w:rPr>
                  <w:rFonts w:ascii="Cambria Math" w:hAnsi="Cambria Math" w:cs="Times New Roman"/>
                  <w:sz w:val="24"/>
                  <w:szCs w:val="24"/>
                </w:rPr>
                <m:t>υ</m:t>
              </m:r>
            </m:e>
          </m:d>
          <m:r>
            <w:rPr>
              <w:rFonts w:ascii="Cambria Math" w:eastAsiaTheme="minorEastAsia" w:hAnsi="Cambria Math" w:cs="Times New Roman"/>
              <w:sz w:val="24"/>
              <w:szCs w:val="24"/>
            </w:rPr>
            <m:t xml:space="preserve">= </m:t>
          </m:r>
          <m:nary>
            <m:naryPr>
              <m:chr m:val="∑"/>
              <m:limLoc m:val="undOvr"/>
              <m:supHide m:val="on"/>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s≠υ≠t∈V</m:t>
              </m:r>
            </m:sub>
            <m:sup/>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st</m:t>
                      </m:r>
                    </m:sub>
                  </m:sSub>
                  <m:r>
                    <w:rPr>
                      <w:rFonts w:ascii="Cambria Math" w:eastAsiaTheme="minorEastAsia" w:hAnsi="Cambria Math" w:cs="Times New Roman"/>
                      <w:sz w:val="24"/>
                      <w:szCs w:val="24"/>
                    </w:rPr>
                    <m:t>(υ)</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st</m:t>
                      </m:r>
                    </m:sub>
                  </m:sSub>
                </m:den>
              </m:f>
            </m:e>
          </m:nary>
        </m:oMath>
      </m:oMathPara>
    </w:p>
    <w:p w:rsidR="00490A40" w:rsidRDefault="00EC03E5" w:rsidP="00AD7E1A">
      <w:pPr>
        <w:rPr>
          <w:rFonts w:ascii="Times New Roman" w:hAnsi="Times New Roman" w:cs="Times New Roman"/>
          <w:sz w:val="24"/>
          <w:szCs w:val="24"/>
        </w:rPr>
      </w:pPr>
      <w:proofErr w:type="gramStart"/>
      <w:r>
        <w:rPr>
          <w:rFonts w:ascii="Times New Roman" w:eastAsiaTheme="minorEastAsia" w:hAnsi="Times New Roman" w:cs="Times New Roman"/>
          <w:sz w:val="24"/>
          <w:szCs w:val="24"/>
        </w:rPr>
        <w:lastRenderedPageBreak/>
        <w:t>give</w:t>
      </w:r>
      <w:r w:rsidR="008A3CE7">
        <w:rPr>
          <w:rFonts w:ascii="Times New Roman" w:eastAsiaTheme="minorEastAsia" w:hAnsi="Times New Roman" w:cs="Times New Roman"/>
          <w:sz w:val="24"/>
          <w:szCs w:val="24"/>
        </w:rPr>
        <w:t>s</w:t>
      </w:r>
      <w:proofErr w:type="gramEnd"/>
      <w:r w:rsidR="008A3CE7">
        <w:rPr>
          <w:rFonts w:ascii="Times New Roman" w:eastAsiaTheme="minorEastAsia" w:hAnsi="Times New Roman" w:cs="Times New Roman"/>
          <w:sz w:val="24"/>
          <w:szCs w:val="24"/>
        </w:rPr>
        <w:t xml:space="preserve"> the proportion of times any node υ acts as a bridge along a path in the network between two other nodes, </w:t>
      </w:r>
      <w:r w:rsidR="008A3CE7">
        <w:rPr>
          <w:rFonts w:ascii="Times New Roman" w:eastAsiaTheme="minorEastAsia" w:hAnsi="Times New Roman" w:cs="Times New Roman"/>
          <w:i/>
          <w:sz w:val="24"/>
          <w:szCs w:val="24"/>
        </w:rPr>
        <w:t xml:space="preserve">s </w:t>
      </w:r>
      <w:r w:rsidR="008A3CE7">
        <w:rPr>
          <w:rFonts w:ascii="Times New Roman" w:eastAsiaTheme="minorEastAsia" w:hAnsi="Times New Roman" w:cs="Times New Roman"/>
          <w:sz w:val="24"/>
          <w:szCs w:val="24"/>
        </w:rPr>
        <w:t xml:space="preserve">and </w:t>
      </w:r>
      <w:r w:rsidR="008A3CE7">
        <w:rPr>
          <w:rFonts w:ascii="Times New Roman" w:eastAsiaTheme="minorEastAsia" w:hAnsi="Times New Roman" w:cs="Times New Roman"/>
          <w:i/>
          <w:sz w:val="24"/>
          <w:szCs w:val="24"/>
        </w:rPr>
        <w:t>t</w:t>
      </w:r>
      <w:r w:rsidR="007018A2">
        <w:rPr>
          <w:rFonts w:ascii="Times New Roman" w:eastAsiaTheme="minorEastAsia" w:hAnsi="Times New Roman" w:cs="Times New Roman"/>
          <w:i/>
          <w:sz w:val="24"/>
          <w:szCs w:val="24"/>
        </w:rPr>
        <w:t xml:space="preserve"> </w:t>
      </w:r>
      <w:r w:rsidR="007018A2">
        <w:rPr>
          <w:rFonts w:ascii="Times New Roman" w:eastAsiaTheme="minorEastAsia" w:hAnsi="Times New Roman" w:cs="Times New Roman"/>
          <w:sz w:val="24"/>
          <w:szCs w:val="24"/>
        </w:rPr>
        <w:t>(</w:t>
      </w:r>
      <w:proofErr w:type="spellStart"/>
      <w:r w:rsidR="007018A2">
        <w:rPr>
          <w:rFonts w:ascii="Times New Roman" w:eastAsiaTheme="minorEastAsia" w:hAnsi="Times New Roman" w:cs="Times New Roman"/>
          <w:sz w:val="24"/>
          <w:szCs w:val="24"/>
        </w:rPr>
        <w:t>Brandes</w:t>
      </w:r>
      <w:proofErr w:type="spellEnd"/>
      <w:r w:rsidR="007018A2">
        <w:rPr>
          <w:rFonts w:ascii="Times New Roman" w:eastAsiaTheme="minorEastAsia" w:hAnsi="Times New Roman" w:cs="Times New Roman"/>
          <w:sz w:val="24"/>
          <w:szCs w:val="24"/>
        </w:rPr>
        <w:t>, 2001)</w:t>
      </w:r>
      <w:r w:rsidR="008A3CE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Essentially, this allows us to observe the likelihood that any person or place allows opportunities for the risk of transmission through the network to additional people who may otherwise not be connected.</w:t>
      </w:r>
      <w:r>
        <w:rPr>
          <w:rFonts w:ascii="Times New Roman" w:hAnsi="Times New Roman" w:cs="Times New Roman"/>
          <w:sz w:val="24"/>
          <w:szCs w:val="24"/>
        </w:rPr>
        <w:t xml:space="preserve"> </w:t>
      </w:r>
      <w:proofErr w:type="spellStart"/>
      <w:r>
        <w:rPr>
          <w:rFonts w:ascii="Times New Roman" w:hAnsi="Times New Roman" w:cs="Times New Roman"/>
          <w:sz w:val="24"/>
          <w:szCs w:val="24"/>
        </w:rPr>
        <w:t>Pajek</w:t>
      </w:r>
      <w:proofErr w:type="spellEnd"/>
      <w:r>
        <w:rPr>
          <w:rFonts w:ascii="Times New Roman" w:hAnsi="Times New Roman" w:cs="Times New Roman"/>
          <w:sz w:val="24"/>
          <w:szCs w:val="24"/>
        </w:rPr>
        <w:t xml:space="preserve"> </w:t>
      </w:r>
      <w:proofErr w:type="spellStart"/>
      <w:r w:rsidR="009040AE">
        <w:rPr>
          <w:rFonts w:ascii="Times New Roman" w:hAnsi="Times New Roman" w:cs="Times New Roman"/>
          <w:sz w:val="24"/>
          <w:szCs w:val="24"/>
        </w:rPr>
        <w:t>betweenness</w:t>
      </w:r>
      <w:proofErr w:type="spellEnd"/>
      <w:r w:rsidR="009040AE">
        <w:rPr>
          <w:rFonts w:ascii="Times New Roman" w:hAnsi="Times New Roman" w:cs="Times New Roman"/>
          <w:sz w:val="24"/>
          <w:szCs w:val="24"/>
        </w:rPr>
        <w:t xml:space="preserve"> values were</w:t>
      </w:r>
      <w:r w:rsidR="00490A40">
        <w:rPr>
          <w:rFonts w:ascii="Times New Roman" w:hAnsi="Times New Roman" w:cs="Times New Roman"/>
          <w:sz w:val="24"/>
          <w:szCs w:val="24"/>
        </w:rPr>
        <w:t xml:space="preserve"> exported and used to perform the spatial analysis.</w:t>
      </w:r>
    </w:p>
    <w:p w:rsidR="00490A40" w:rsidRDefault="00490A40" w:rsidP="00490A40">
      <w:pPr>
        <w:pStyle w:val="Heading3"/>
      </w:pPr>
      <w:r>
        <w:t>Spatial Analysis</w:t>
      </w:r>
    </w:p>
    <w:p w:rsidR="00490A40" w:rsidRDefault="00490A40" w:rsidP="00490A40">
      <w:pPr>
        <w:rPr>
          <w:rFonts w:ascii="Times New Roman" w:hAnsi="Times New Roman" w:cs="Times New Roman"/>
          <w:sz w:val="24"/>
          <w:szCs w:val="24"/>
        </w:rPr>
      </w:pPr>
      <w:r>
        <w:rPr>
          <w:rFonts w:ascii="Times New Roman" w:hAnsi="Times New Roman" w:cs="Times New Roman"/>
          <w:sz w:val="24"/>
          <w:szCs w:val="24"/>
        </w:rPr>
        <w:t xml:space="preserve">The integration of social network analysis with </w:t>
      </w:r>
      <w:r w:rsidR="00714A20">
        <w:rPr>
          <w:rFonts w:ascii="Times New Roman" w:hAnsi="Times New Roman" w:cs="Times New Roman"/>
          <w:sz w:val="24"/>
          <w:szCs w:val="24"/>
        </w:rPr>
        <w:t>spatial analysis was used to illustrate the</w:t>
      </w:r>
      <w:r w:rsidR="00EC03E5">
        <w:rPr>
          <w:rFonts w:ascii="Times New Roman" w:hAnsi="Times New Roman" w:cs="Times New Roman"/>
          <w:sz w:val="24"/>
          <w:szCs w:val="24"/>
        </w:rPr>
        <w:t xml:space="preserve"> social topology present among</w:t>
      </w:r>
      <w:r w:rsidR="00714A20">
        <w:rPr>
          <w:rFonts w:ascii="Times New Roman" w:hAnsi="Times New Roman" w:cs="Times New Roman"/>
          <w:sz w:val="24"/>
          <w:szCs w:val="24"/>
        </w:rPr>
        <w:t xml:space="preserve"> respondent networks. The outputs were used to understand the spatial concentration of the social networks and the distribution of respondents with respect to where the social topology was strongest. </w:t>
      </w:r>
    </w:p>
    <w:p w:rsidR="00714A20" w:rsidRDefault="00E02DC4" w:rsidP="00490A40">
      <w:pPr>
        <w:rPr>
          <w:rFonts w:ascii="Times New Roman" w:hAnsi="Times New Roman" w:cs="Times New Roman"/>
          <w:sz w:val="24"/>
          <w:szCs w:val="24"/>
        </w:rPr>
      </w:pPr>
      <w:r>
        <w:rPr>
          <w:rFonts w:ascii="Times New Roman" w:hAnsi="Times New Roman" w:cs="Times New Roman"/>
          <w:sz w:val="24"/>
          <w:szCs w:val="24"/>
        </w:rPr>
        <w:t xml:space="preserve">The spatial coverage of </w:t>
      </w:r>
      <w:r w:rsidR="002927FA">
        <w:rPr>
          <w:rFonts w:ascii="Times New Roman" w:hAnsi="Times New Roman" w:cs="Times New Roman"/>
          <w:sz w:val="24"/>
          <w:szCs w:val="24"/>
        </w:rPr>
        <w:t>components</w:t>
      </w:r>
      <w:r>
        <w:rPr>
          <w:rFonts w:ascii="Times New Roman" w:hAnsi="Times New Roman" w:cs="Times New Roman"/>
          <w:sz w:val="24"/>
          <w:szCs w:val="24"/>
        </w:rPr>
        <w:t xml:space="preserve"> and their relation to risk-related activities were analyzed using several spatial analysis tools in ArcGIS 10.2 </w:t>
      </w:r>
      <w:r w:rsidR="00B42C1E">
        <w:rPr>
          <w:rFonts w:ascii="Times New Roman" w:hAnsi="Times New Roman" w:cs="Times New Roman"/>
          <w:sz w:val="24"/>
          <w:szCs w:val="24"/>
        </w:rPr>
        <w:t>(</w:t>
      </w:r>
      <w:hyperlink r:id="rId11" w:history="1">
        <w:r w:rsidR="00B42C1E" w:rsidRPr="00F609E4">
          <w:rPr>
            <w:rStyle w:val="Hyperlink"/>
            <w:rFonts w:ascii="Times New Roman" w:hAnsi="Times New Roman" w:cs="Times New Roman"/>
            <w:sz w:val="24"/>
            <w:szCs w:val="24"/>
          </w:rPr>
          <w:t>www.esri.com</w:t>
        </w:r>
      </w:hyperlink>
      <w:r w:rsidR="00B42C1E">
        <w:rPr>
          <w:rFonts w:ascii="Times New Roman" w:hAnsi="Times New Roman" w:cs="Times New Roman"/>
          <w:sz w:val="24"/>
          <w:szCs w:val="24"/>
        </w:rPr>
        <w:t xml:space="preserve">) </w:t>
      </w:r>
      <w:r>
        <w:rPr>
          <w:rFonts w:ascii="Times New Roman" w:hAnsi="Times New Roman" w:cs="Times New Roman"/>
          <w:sz w:val="24"/>
          <w:szCs w:val="24"/>
        </w:rPr>
        <w:t xml:space="preserve">(ESRI, Inc., Redlands, CA). The geographic extent of each </w:t>
      </w:r>
      <w:r w:rsidR="002927FA">
        <w:rPr>
          <w:rFonts w:ascii="Times New Roman" w:hAnsi="Times New Roman" w:cs="Times New Roman"/>
          <w:sz w:val="24"/>
          <w:szCs w:val="24"/>
        </w:rPr>
        <w:t>component</w:t>
      </w:r>
      <w:r>
        <w:rPr>
          <w:rFonts w:ascii="Times New Roman" w:hAnsi="Times New Roman" w:cs="Times New Roman"/>
          <w:sz w:val="24"/>
          <w:szCs w:val="24"/>
        </w:rPr>
        <w:t xml:space="preserve"> was determined by mapping the minimum bounding geometry of all respondents that were identified through the SNA above. </w:t>
      </w:r>
      <w:r w:rsidRPr="00E23BE1">
        <w:rPr>
          <w:rFonts w:ascii="Times New Roman" w:hAnsi="Times New Roman" w:cs="Times New Roman"/>
          <w:sz w:val="24"/>
          <w:szCs w:val="24"/>
        </w:rPr>
        <w:t xml:space="preserve">An “XY to Line” operation was used to draw the edges of each </w:t>
      </w:r>
      <w:r w:rsidR="002927FA" w:rsidRPr="00E23BE1">
        <w:rPr>
          <w:rFonts w:ascii="Times New Roman" w:hAnsi="Times New Roman" w:cs="Times New Roman"/>
          <w:sz w:val="24"/>
          <w:szCs w:val="24"/>
        </w:rPr>
        <w:t>network graph</w:t>
      </w:r>
      <w:r w:rsidRPr="00E23BE1">
        <w:rPr>
          <w:rFonts w:ascii="Times New Roman" w:hAnsi="Times New Roman" w:cs="Times New Roman"/>
          <w:sz w:val="24"/>
          <w:szCs w:val="24"/>
        </w:rPr>
        <w:t xml:space="preserve"> in geographic space, a visualization technique used successfully in a previous analysis of social contacts of HIV-positive persons </w:t>
      </w:r>
      <w:r w:rsidR="002927FA" w:rsidRPr="00E23BE1">
        <w:rPr>
          <w:rFonts w:ascii="Times New Roman" w:hAnsi="Times New Roman" w:cs="Times New Roman"/>
          <w:sz w:val="24"/>
          <w:szCs w:val="24"/>
        </w:rPr>
        <w:t xml:space="preserve">(Rothenberg </w:t>
      </w:r>
      <w:r w:rsidR="002927FA" w:rsidRPr="00B42C1E">
        <w:rPr>
          <w:rFonts w:ascii="Times New Roman" w:hAnsi="Times New Roman" w:cs="Times New Roman"/>
          <w:i/>
          <w:sz w:val="24"/>
          <w:szCs w:val="24"/>
        </w:rPr>
        <w:t>et al</w:t>
      </w:r>
      <w:r w:rsidR="00B42C1E">
        <w:rPr>
          <w:rFonts w:ascii="Times New Roman" w:hAnsi="Times New Roman" w:cs="Times New Roman"/>
          <w:sz w:val="24"/>
          <w:szCs w:val="24"/>
        </w:rPr>
        <w:t>.</w:t>
      </w:r>
      <w:r w:rsidR="002927FA" w:rsidRPr="00E23BE1">
        <w:rPr>
          <w:rFonts w:ascii="Times New Roman" w:hAnsi="Times New Roman" w:cs="Times New Roman"/>
          <w:sz w:val="24"/>
          <w:szCs w:val="24"/>
        </w:rPr>
        <w:t>, 2005). Strai</w:t>
      </w:r>
      <w:r w:rsidR="00B42C1E">
        <w:rPr>
          <w:rFonts w:ascii="Times New Roman" w:hAnsi="Times New Roman" w:cs="Times New Roman"/>
          <w:sz w:val="24"/>
          <w:szCs w:val="24"/>
        </w:rPr>
        <w:t>ght lines on the map represent</w:t>
      </w:r>
      <w:r w:rsidR="002927FA" w:rsidRPr="00E23BE1">
        <w:rPr>
          <w:rFonts w:ascii="Times New Roman" w:hAnsi="Times New Roman" w:cs="Times New Roman"/>
          <w:sz w:val="24"/>
          <w:szCs w:val="24"/>
        </w:rPr>
        <w:t xml:space="preserve"> Euclidean connections between the residences of linked individuals, as well as connections between an individual’s residence and the places that individual claimed to engage in risk-related behaviours.</w:t>
      </w:r>
    </w:p>
    <w:p w:rsidR="002927FA" w:rsidRDefault="002927FA" w:rsidP="00490A40">
      <w:pPr>
        <w:rPr>
          <w:rFonts w:ascii="Times New Roman" w:hAnsi="Times New Roman" w:cs="Times New Roman"/>
          <w:sz w:val="24"/>
          <w:szCs w:val="24"/>
        </w:rPr>
      </w:pPr>
      <w:r>
        <w:rPr>
          <w:rFonts w:ascii="Times New Roman" w:hAnsi="Times New Roman" w:cs="Times New Roman"/>
          <w:sz w:val="24"/>
          <w:szCs w:val="24"/>
        </w:rPr>
        <w:t>Point pattern analysis methods such as kernel density estimation (KDE) have been successfully used in a number of studies (e.g. analyze agricultural impact of sinkholes (</w:t>
      </w:r>
      <w:proofErr w:type="spellStart"/>
      <w:r>
        <w:rPr>
          <w:rFonts w:ascii="Times New Roman" w:hAnsi="Times New Roman" w:cs="Times New Roman"/>
          <w:sz w:val="24"/>
          <w:szCs w:val="24"/>
        </w:rPr>
        <w:t>Aurit</w:t>
      </w:r>
      <w:proofErr w:type="spellEnd"/>
      <w:r>
        <w:rPr>
          <w:rFonts w:ascii="Times New Roman" w:hAnsi="Times New Roman" w:cs="Times New Roman"/>
          <w:sz w:val="24"/>
          <w:szCs w:val="24"/>
        </w:rPr>
        <w:t xml:space="preserve"> </w:t>
      </w:r>
      <w:r w:rsidRPr="00B42C1E">
        <w:rPr>
          <w:rFonts w:ascii="Times New Roman" w:hAnsi="Times New Roman" w:cs="Times New Roman"/>
          <w:i/>
          <w:sz w:val="24"/>
          <w:szCs w:val="24"/>
        </w:rPr>
        <w:t>et al</w:t>
      </w:r>
      <w:r w:rsidR="00B42C1E">
        <w:rPr>
          <w:rFonts w:ascii="Times New Roman" w:hAnsi="Times New Roman" w:cs="Times New Roman"/>
          <w:sz w:val="24"/>
          <w:szCs w:val="24"/>
        </w:rPr>
        <w:t>.</w:t>
      </w:r>
      <w:r>
        <w:rPr>
          <w:rFonts w:ascii="Times New Roman" w:hAnsi="Times New Roman" w:cs="Times New Roman"/>
          <w:sz w:val="24"/>
          <w:szCs w:val="24"/>
        </w:rPr>
        <w:t xml:space="preserve">, 2013); crime patterns (Gerber, 2014); and cyclone frequency (Joyner and </w:t>
      </w:r>
      <w:proofErr w:type="spellStart"/>
      <w:r>
        <w:rPr>
          <w:rFonts w:ascii="Times New Roman" w:hAnsi="Times New Roman" w:cs="Times New Roman"/>
          <w:sz w:val="24"/>
          <w:szCs w:val="24"/>
        </w:rPr>
        <w:t>Rohli</w:t>
      </w:r>
      <w:proofErr w:type="spellEnd"/>
      <w:r>
        <w:rPr>
          <w:rFonts w:ascii="Times New Roman" w:hAnsi="Times New Roman" w:cs="Times New Roman"/>
          <w:sz w:val="24"/>
          <w:szCs w:val="24"/>
        </w:rPr>
        <w:t xml:space="preserve">, 2010)) and was used in this study to highlight the geographic concentration of potential risk in each component. The KDE function fits a surface over each point in the dataset, using values of surrounding points within a defined radius to estimate values on unknown points in the area. We performed the operation twice for each connected component. The first used raw point counts (p = 1) to calculate the point values in the surface estimation. The second assigned the </w:t>
      </w:r>
      <w:proofErr w:type="spellStart"/>
      <w:r>
        <w:rPr>
          <w:rFonts w:ascii="Times New Roman" w:hAnsi="Times New Roman" w:cs="Times New Roman"/>
          <w:sz w:val="24"/>
          <w:szCs w:val="24"/>
        </w:rPr>
        <w:t>betweenness</w:t>
      </w:r>
      <w:proofErr w:type="spellEnd"/>
      <w:r>
        <w:rPr>
          <w:rFonts w:ascii="Times New Roman" w:hAnsi="Times New Roman" w:cs="Times New Roman"/>
          <w:sz w:val="24"/>
          <w:szCs w:val="24"/>
        </w:rPr>
        <w:t xml:space="preserve"> score of each point, aimed at highlighting locations of greatest importance within the </w:t>
      </w:r>
      <w:proofErr w:type="spellStart"/>
      <w:r>
        <w:rPr>
          <w:rFonts w:ascii="Times New Roman" w:hAnsi="Times New Roman" w:cs="Times New Roman"/>
          <w:sz w:val="24"/>
          <w:szCs w:val="24"/>
        </w:rPr>
        <w:t>sociospatial</w:t>
      </w:r>
      <w:proofErr w:type="spellEnd"/>
      <w:r>
        <w:rPr>
          <w:rFonts w:ascii="Times New Roman" w:hAnsi="Times New Roman" w:cs="Times New Roman"/>
          <w:sz w:val="24"/>
          <w:szCs w:val="24"/>
        </w:rPr>
        <w:t xml:space="preserve"> model. In each </w:t>
      </w:r>
      <w:r w:rsidR="00E23BE1">
        <w:rPr>
          <w:rFonts w:ascii="Times New Roman" w:hAnsi="Times New Roman" w:cs="Times New Roman"/>
          <w:sz w:val="24"/>
          <w:szCs w:val="24"/>
        </w:rPr>
        <w:t>case, we used the ArcGIS default output cell size and search radius calculated by the KDE tool, defined as the shorter of the height or width of the data set’s spatial extents divided by factors of 250 and 30, respectively, for the two measurements.</w:t>
      </w:r>
    </w:p>
    <w:p w:rsidR="00DC77D8" w:rsidRPr="00BE084C" w:rsidRDefault="00DC77D8" w:rsidP="00DC77D8">
      <w:pPr>
        <w:pStyle w:val="Heading2"/>
        <w:rPr>
          <w:color w:val="auto"/>
        </w:rPr>
      </w:pPr>
      <w:r w:rsidRPr="00BE084C">
        <w:rPr>
          <w:color w:val="auto"/>
        </w:rPr>
        <w:t>Results</w:t>
      </w:r>
    </w:p>
    <w:p w:rsidR="00B95403" w:rsidRDefault="00F77BBC" w:rsidP="00DC77D8">
      <w:pPr>
        <w:rPr>
          <w:rFonts w:ascii="Times New Roman" w:hAnsi="Times New Roman" w:cs="Times New Roman"/>
          <w:sz w:val="24"/>
          <w:szCs w:val="24"/>
        </w:rPr>
      </w:pPr>
      <w:r>
        <w:rPr>
          <w:rFonts w:ascii="Times New Roman" w:hAnsi="Times New Roman" w:cs="Times New Roman"/>
          <w:sz w:val="24"/>
          <w:szCs w:val="24"/>
        </w:rPr>
        <w:t xml:space="preserve">The study population of 600 individuals was over half (53%) male and nearly three-quarters (73.3%) </w:t>
      </w:r>
      <w:r w:rsidR="00B95403" w:rsidRPr="006A1FD1">
        <w:rPr>
          <w:rFonts w:ascii="Times New Roman" w:hAnsi="Times New Roman" w:cs="Times New Roman"/>
          <w:sz w:val="24"/>
          <w:szCs w:val="24"/>
        </w:rPr>
        <w:t>belong to aboriginal groups</w:t>
      </w:r>
      <w:r w:rsidRPr="006A1FD1">
        <w:rPr>
          <w:rFonts w:ascii="Times New Roman" w:hAnsi="Times New Roman" w:cs="Times New Roman"/>
          <w:sz w:val="24"/>
          <w:szCs w:val="24"/>
        </w:rPr>
        <w:t xml:space="preserve"> </w:t>
      </w:r>
      <w:r>
        <w:rPr>
          <w:rFonts w:ascii="Times New Roman" w:hAnsi="Times New Roman" w:cs="Times New Roman"/>
          <w:sz w:val="24"/>
          <w:szCs w:val="24"/>
        </w:rPr>
        <w:t>(First Nations (53.8%), M</w:t>
      </w:r>
      <w:r w:rsidR="00B95403">
        <w:rPr>
          <w:rFonts w:ascii="Times New Roman" w:hAnsi="Times New Roman" w:cs="Times New Roman"/>
          <w:sz w:val="24"/>
          <w:szCs w:val="24"/>
        </w:rPr>
        <w:t xml:space="preserve">étis (19.2%) and Inuit (0.3%)). Over half of respondents stated they had injected drugs (50.5%) </w:t>
      </w:r>
      <w:r w:rsidR="0097458B">
        <w:rPr>
          <w:rFonts w:ascii="Times New Roman" w:hAnsi="Times New Roman" w:cs="Times New Roman"/>
          <w:sz w:val="24"/>
          <w:szCs w:val="24"/>
        </w:rPr>
        <w:t xml:space="preserve">but </w:t>
      </w:r>
      <w:r w:rsidR="00074845">
        <w:rPr>
          <w:rFonts w:ascii="Times New Roman" w:hAnsi="Times New Roman" w:cs="Times New Roman"/>
          <w:sz w:val="24"/>
          <w:szCs w:val="24"/>
        </w:rPr>
        <w:t>only 16.2% provided a geographic locati</w:t>
      </w:r>
      <w:r w:rsidR="0097458B">
        <w:rPr>
          <w:rFonts w:ascii="Times New Roman" w:hAnsi="Times New Roman" w:cs="Times New Roman"/>
          <w:sz w:val="24"/>
          <w:szCs w:val="24"/>
        </w:rPr>
        <w:t>on in which they injected drugs. O</w:t>
      </w:r>
      <w:r w:rsidR="00074845">
        <w:rPr>
          <w:rFonts w:ascii="Times New Roman" w:hAnsi="Times New Roman" w:cs="Times New Roman"/>
          <w:sz w:val="24"/>
          <w:szCs w:val="24"/>
        </w:rPr>
        <w:t>nly 2 injected drug user</w:t>
      </w:r>
      <w:r w:rsidR="0097458B">
        <w:rPr>
          <w:rFonts w:ascii="Times New Roman" w:hAnsi="Times New Roman" w:cs="Times New Roman"/>
          <w:sz w:val="24"/>
          <w:szCs w:val="24"/>
        </w:rPr>
        <w:t>s</w:t>
      </w:r>
      <w:r w:rsidR="00074845">
        <w:rPr>
          <w:rFonts w:ascii="Times New Roman" w:hAnsi="Times New Roman" w:cs="Times New Roman"/>
          <w:sz w:val="24"/>
          <w:szCs w:val="24"/>
        </w:rPr>
        <w:t xml:space="preserve"> said they had not injected in the last six months at all. </w:t>
      </w:r>
      <w:r w:rsidR="0097458B">
        <w:rPr>
          <w:rFonts w:ascii="Times New Roman" w:hAnsi="Times New Roman" w:cs="Times New Roman"/>
          <w:sz w:val="24"/>
          <w:szCs w:val="24"/>
        </w:rPr>
        <w:t xml:space="preserve">Under half (47.2%) said they had sexual contact with someone outside of their close social network, while just over 10% said they had slept with a sex </w:t>
      </w:r>
      <w:r w:rsidR="0097458B">
        <w:rPr>
          <w:rFonts w:ascii="Times New Roman" w:hAnsi="Times New Roman" w:cs="Times New Roman"/>
          <w:sz w:val="24"/>
          <w:szCs w:val="24"/>
        </w:rPr>
        <w:lastRenderedPageBreak/>
        <w:t xml:space="preserve">client or sex worker in the same period. </w:t>
      </w:r>
      <w:r w:rsidR="00214EB2">
        <w:rPr>
          <w:rFonts w:ascii="Times New Roman" w:hAnsi="Times New Roman" w:cs="Times New Roman"/>
          <w:sz w:val="24"/>
          <w:szCs w:val="24"/>
        </w:rPr>
        <w:t xml:space="preserve">Only 51 respondents who had sexual contact with a sex client or sex worker provided a response as to where they most frequently met those partners; 8 individuals provided unidentifiable spatial information. </w:t>
      </w:r>
      <w:r w:rsidR="00B95403">
        <w:rPr>
          <w:rFonts w:ascii="Times New Roman" w:hAnsi="Times New Roman" w:cs="Times New Roman"/>
          <w:sz w:val="24"/>
          <w:szCs w:val="24"/>
        </w:rPr>
        <w:t xml:space="preserve">Roughly 12% refused serological testing for STIs and BBPs. Of those who consented to tests, laboratory results showed that </w:t>
      </w:r>
      <w:r w:rsidR="006A1FD1">
        <w:rPr>
          <w:rFonts w:ascii="Times New Roman" w:hAnsi="Times New Roman" w:cs="Times New Roman"/>
          <w:sz w:val="24"/>
          <w:szCs w:val="24"/>
        </w:rPr>
        <w:t xml:space="preserve">injected drug use was practiced among </w:t>
      </w:r>
      <w:r w:rsidR="00B95403">
        <w:rPr>
          <w:rFonts w:ascii="Times New Roman" w:hAnsi="Times New Roman" w:cs="Times New Roman"/>
          <w:sz w:val="24"/>
          <w:szCs w:val="24"/>
        </w:rPr>
        <w:t>81.2% infected with HIV and 91.1% infected with Hepatitis C</w:t>
      </w:r>
      <w:r w:rsidR="00B42C1E">
        <w:rPr>
          <w:rFonts w:ascii="Times New Roman" w:hAnsi="Times New Roman" w:cs="Times New Roman"/>
          <w:sz w:val="24"/>
          <w:szCs w:val="24"/>
        </w:rPr>
        <w:t xml:space="preserve"> (HCV)</w:t>
      </w:r>
      <w:r w:rsidR="00B95403">
        <w:rPr>
          <w:rFonts w:ascii="Times New Roman" w:hAnsi="Times New Roman" w:cs="Times New Roman"/>
          <w:sz w:val="24"/>
          <w:szCs w:val="24"/>
        </w:rPr>
        <w:t xml:space="preserve">; just over 97% of those who were co-infected with HIV and </w:t>
      </w:r>
      <w:r w:rsidR="00E439FC">
        <w:rPr>
          <w:rFonts w:ascii="Times New Roman" w:hAnsi="Times New Roman" w:cs="Times New Roman"/>
          <w:sz w:val="24"/>
          <w:szCs w:val="24"/>
        </w:rPr>
        <w:t xml:space="preserve">(HCV) </w:t>
      </w:r>
      <w:r w:rsidR="00B95403">
        <w:rPr>
          <w:rFonts w:ascii="Times New Roman" w:hAnsi="Times New Roman" w:cs="Times New Roman"/>
          <w:sz w:val="24"/>
          <w:szCs w:val="24"/>
        </w:rPr>
        <w:t>injected drugs.</w:t>
      </w:r>
    </w:p>
    <w:p w:rsidR="0027038A" w:rsidRDefault="0027038A" w:rsidP="0027038A">
      <w:pPr>
        <w:pStyle w:val="Caption"/>
        <w:keepNext/>
        <w:rPr>
          <w:b w:val="0"/>
          <w:color w:val="auto"/>
          <w:sz w:val="24"/>
          <w:szCs w:val="24"/>
        </w:rPr>
      </w:pPr>
      <w:proofErr w:type="gramStart"/>
      <w:r w:rsidRPr="00F51F02">
        <w:rPr>
          <w:color w:val="auto"/>
          <w:sz w:val="24"/>
          <w:szCs w:val="24"/>
        </w:rPr>
        <w:t xml:space="preserve">Figure </w:t>
      </w:r>
      <w:r w:rsidR="003B1A1A" w:rsidRPr="00F51F02">
        <w:rPr>
          <w:color w:val="auto"/>
          <w:sz w:val="24"/>
          <w:szCs w:val="24"/>
        </w:rPr>
        <w:fldChar w:fldCharType="begin"/>
      </w:r>
      <w:r w:rsidR="00A44336" w:rsidRPr="00F51F02">
        <w:rPr>
          <w:color w:val="auto"/>
          <w:sz w:val="24"/>
          <w:szCs w:val="24"/>
        </w:rPr>
        <w:instrText xml:space="preserve"> SEQ Figure \* ARABIC </w:instrText>
      </w:r>
      <w:r w:rsidR="003B1A1A" w:rsidRPr="00F51F02">
        <w:rPr>
          <w:color w:val="auto"/>
          <w:sz w:val="24"/>
          <w:szCs w:val="24"/>
        </w:rPr>
        <w:fldChar w:fldCharType="separate"/>
      </w:r>
      <w:r w:rsidR="006E71D8">
        <w:rPr>
          <w:noProof/>
          <w:color w:val="auto"/>
          <w:sz w:val="24"/>
          <w:szCs w:val="24"/>
        </w:rPr>
        <w:t>1</w:t>
      </w:r>
      <w:r w:rsidR="003B1A1A" w:rsidRPr="00F51F02">
        <w:rPr>
          <w:noProof/>
          <w:color w:val="auto"/>
          <w:sz w:val="24"/>
          <w:szCs w:val="24"/>
        </w:rPr>
        <w:fldChar w:fldCharType="end"/>
      </w:r>
      <w:r w:rsidRPr="00F51F02">
        <w:rPr>
          <w:color w:val="auto"/>
          <w:sz w:val="24"/>
          <w:szCs w:val="24"/>
        </w:rPr>
        <w:t>.</w:t>
      </w:r>
      <w:proofErr w:type="gramEnd"/>
      <w:r w:rsidRPr="00F51F02">
        <w:rPr>
          <w:color w:val="auto"/>
          <w:sz w:val="24"/>
          <w:szCs w:val="24"/>
        </w:rPr>
        <w:t xml:space="preserve"> </w:t>
      </w:r>
      <w:r w:rsidR="005F1870">
        <w:rPr>
          <w:b w:val="0"/>
          <w:color w:val="auto"/>
          <w:sz w:val="24"/>
          <w:szCs w:val="24"/>
        </w:rPr>
        <w:t>Number of social networks by size (in number of nodes) (A) without geography (n = 600, N = 147) and (B) with geographic place included as connections (n = 701, N = 57)</w:t>
      </w:r>
    </w:p>
    <w:tbl>
      <w:tblPr>
        <w:tblStyle w:val="TableGrid"/>
        <w:tblW w:w="0" w:type="auto"/>
        <w:tblLook w:val="04A0"/>
      </w:tblPr>
      <w:tblGrid>
        <w:gridCol w:w="9350"/>
      </w:tblGrid>
      <w:tr w:rsidR="00B42C1E" w:rsidTr="00B42C1E">
        <w:tc>
          <w:tcPr>
            <w:tcW w:w="9350" w:type="dxa"/>
          </w:tcPr>
          <w:p w:rsidR="00B42C1E" w:rsidRDefault="005F1870" w:rsidP="00B42C1E">
            <w:r>
              <w:rPr>
                <w:noProof/>
                <w:lang w:val="en-US"/>
              </w:rPr>
              <w:drawing>
                <wp:inline distT="0" distB="0" distL="0" distR="0">
                  <wp:extent cx="5753100" cy="2159635"/>
                  <wp:effectExtent l="0" t="0" r="0" b="120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B42C1E" w:rsidTr="00B42C1E">
        <w:tc>
          <w:tcPr>
            <w:tcW w:w="9350" w:type="dxa"/>
          </w:tcPr>
          <w:p w:rsidR="00B42C1E" w:rsidRDefault="005F1870" w:rsidP="00B42C1E">
            <w:r>
              <w:rPr>
                <w:noProof/>
                <w:lang w:val="en-US"/>
              </w:rPr>
              <w:drawing>
                <wp:inline distT="0" distB="0" distL="0" distR="0">
                  <wp:extent cx="5753100" cy="2159635"/>
                  <wp:effectExtent l="0" t="0" r="0"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F1339D" w:rsidRDefault="00F1339D" w:rsidP="00C139EC">
      <w:pPr>
        <w:rPr>
          <w:rFonts w:ascii="Times New Roman" w:hAnsi="Times New Roman" w:cs="Times New Roman"/>
          <w:sz w:val="24"/>
          <w:szCs w:val="24"/>
        </w:rPr>
      </w:pPr>
    </w:p>
    <w:p w:rsidR="00C5322A" w:rsidRPr="00C139EC" w:rsidRDefault="005E4141" w:rsidP="00C139EC">
      <w:pPr>
        <w:rPr>
          <w:rFonts w:ascii="Times New Roman" w:hAnsi="Times New Roman" w:cs="Times New Roman"/>
          <w:sz w:val="24"/>
          <w:szCs w:val="24"/>
        </w:rPr>
      </w:pPr>
      <w:r>
        <w:rPr>
          <w:rFonts w:ascii="Times New Roman" w:hAnsi="Times New Roman" w:cs="Times New Roman"/>
          <w:sz w:val="24"/>
          <w:szCs w:val="24"/>
        </w:rPr>
        <w:t>Fifty-seven components of size two or greater were identified with the largest containing 366 nodes (Figure 1</w:t>
      </w:r>
      <w:r w:rsidR="00A3096F">
        <w:rPr>
          <w:rFonts w:ascii="Times New Roman" w:hAnsi="Times New Roman" w:cs="Times New Roman"/>
          <w:sz w:val="24"/>
          <w:szCs w:val="24"/>
        </w:rPr>
        <w:t>b</w:t>
      </w:r>
      <w:r>
        <w:rPr>
          <w:rFonts w:ascii="Times New Roman" w:hAnsi="Times New Roman" w:cs="Times New Roman"/>
          <w:sz w:val="24"/>
          <w:szCs w:val="24"/>
        </w:rPr>
        <w:t>, Figure 2a).</w:t>
      </w:r>
      <w:r w:rsidR="00F77BBC">
        <w:rPr>
          <w:rFonts w:ascii="Times New Roman" w:hAnsi="Times New Roman" w:cs="Times New Roman"/>
          <w:sz w:val="24"/>
          <w:szCs w:val="24"/>
        </w:rPr>
        <w:t xml:space="preserve"> </w:t>
      </w:r>
      <w:r w:rsidR="000F1D28">
        <w:rPr>
          <w:rFonts w:ascii="Times New Roman" w:hAnsi="Times New Roman" w:cs="Times New Roman"/>
          <w:sz w:val="24"/>
          <w:szCs w:val="24"/>
        </w:rPr>
        <w:t>Overall, 44% of the components contained two nodes</w:t>
      </w:r>
      <w:r w:rsidR="00CC387F">
        <w:rPr>
          <w:rFonts w:ascii="Times New Roman" w:hAnsi="Times New Roman" w:cs="Times New Roman"/>
          <w:sz w:val="24"/>
          <w:szCs w:val="24"/>
        </w:rPr>
        <w:t xml:space="preserve"> (dyads)</w:t>
      </w:r>
      <w:r w:rsidR="000F1D28">
        <w:rPr>
          <w:rFonts w:ascii="Times New Roman" w:hAnsi="Times New Roman" w:cs="Times New Roman"/>
          <w:sz w:val="24"/>
          <w:szCs w:val="24"/>
        </w:rPr>
        <w:t xml:space="preserve">; 19% contained three nodes </w:t>
      </w:r>
      <w:r w:rsidR="00CC387F">
        <w:rPr>
          <w:rFonts w:ascii="Times New Roman" w:hAnsi="Times New Roman" w:cs="Times New Roman"/>
          <w:sz w:val="24"/>
          <w:szCs w:val="24"/>
        </w:rPr>
        <w:t xml:space="preserve">(triads) </w:t>
      </w:r>
      <w:r w:rsidR="000F1D28">
        <w:rPr>
          <w:rFonts w:ascii="Times New Roman" w:hAnsi="Times New Roman" w:cs="Times New Roman"/>
          <w:sz w:val="24"/>
          <w:szCs w:val="24"/>
        </w:rPr>
        <w:t>and 5 components were greater than size 10.</w:t>
      </w:r>
      <w:r w:rsidR="008304A9">
        <w:rPr>
          <w:rFonts w:ascii="Times New Roman" w:hAnsi="Times New Roman" w:cs="Times New Roman"/>
          <w:sz w:val="24"/>
          <w:szCs w:val="24"/>
        </w:rPr>
        <w:t xml:space="preserve"> 23 components (40.4%) included at least one geographic location. The largest component </w:t>
      </w:r>
      <w:r w:rsidR="00C43D7F">
        <w:rPr>
          <w:rFonts w:ascii="Times New Roman" w:hAnsi="Times New Roman" w:cs="Times New Roman"/>
          <w:sz w:val="24"/>
          <w:szCs w:val="24"/>
        </w:rPr>
        <w:t>contained</w:t>
      </w:r>
      <w:r w:rsidR="008304A9">
        <w:rPr>
          <w:rFonts w:ascii="Times New Roman" w:hAnsi="Times New Roman" w:cs="Times New Roman"/>
          <w:sz w:val="24"/>
          <w:szCs w:val="24"/>
        </w:rPr>
        <w:t xml:space="preserve"> over two-thirds (</w:t>
      </w:r>
      <w:r w:rsidR="0077011C">
        <w:rPr>
          <w:rFonts w:ascii="Times New Roman" w:hAnsi="Times New Roman" w:cs="Times New Roman"/>
          <w:sz w:val="24"/>
          <w:szCs w:val="24"/>
        </w:rPr>
        <w:t>68</w:t>
      </w:r>
      <w:r w:rsidR="00F51F02">
        <w:rPr>
          <w:rFonts w:ascii="Times New Roman" w:hAnsi="Times New Roman" w:cs="Times New Roman"/>
          <w:sz w:val="24"/>
          <w:szCs w:val="24"/>
        </w:rPr>
        <w:t>%</w:t>
      </w:r>
      <w:r w:rsidR="008304A9">
        <w:rPr>
          <w:rFonts w:ascii="Times New Roman" w:hAnsi="Times New Roman" w:cs="Times New Roman"/>
          <w:sz w:val="24"/>
          <w:szCs w:val="24"/>
        </w:rPr>
        <w:t>) of the risk-behaviour activity locations.</w:t>
      </w:r>
      <w:r w:rsidR="0077011C">
        <w:rPr>
          <w:rFonts w:ascii="Times New Roman" w:hAnsi="Times New Roman" w:cs="Times New Roman"/>
          <w:sz w:val="24"/>
          <w:szCs w:val="24"/>
        </w:rPr>
        <w:t xml:space="preserve"> </w:t>
      </w:r>
      <w:r w:rsidR="008304A9">
        <w:rPr>
          <w:rFonts w:ascii="Times New Roman" w:hAnsi="Times New Roman" w:cs="Times New Roman"/>
          <w:sz w:val="24"/>
          <w:szCs w:val="24"/>
        </w:rPr>
        <w:t xml:space="preserve"> </w:t>
      </w:r>
      <w:r w:rsidR="004B0684">
        <w:rPr>
          <w:rFonts w:ascii="Times New Roman" w:hAnsi="Times New Roman" w:cs="Times New Roman"/>
          <w:sz w:val="24"/>
          <w:szCs w:val="24"/>
        </w:rPr>
        <w:t xml:space="preserve">Only one of the five largest components </w:t>
      </w:r>
      <w:r w:rsidR="004C5309">
        <w:rPr>
          <w:rFonts w:ascii="Times New Roman" w:hAnsi="Times New Roman" w:cs="Times New Roman"/>
          <w:sz w:val="24"/>
          <w:szCs w:val="24"/>
        </w:rPr>
        <w:t xml:space="preserve">(Component 7) </w:t>
      </w:r>
      <w:r w:rsidR="004B0684">
        <w:rPr>
          <w:rFonts w:ascii="Times New Roman" w:hAnsi="Times New Roman" w:cs="Times New Roman"/>
          <w:sz w:val="24"/>
          <w:szCs w:val="24"/>
        </w:rPr>
        <w:t>did not have a s</w:t>
      </w:r>
      <w:r w:rsidR="004C5309">
        <w:rPr>
          <w:rFonts w:ascii="Times New Roman" w:hAnsi="Times New Roman" w:cs="Times New Roman"/>
          <w:sz w:val="24"/>
          <w:szCs w:val="24"/>
        </w:rPr>
        <w:t xml:space="preserve">ingle risk-related activity </w:t>
      </w:r>
      <w:r w:rsidR="004B0684">
        <w:rPr>
          <w:rFonts w:ascii="Times New Roman" w:hAnsi="Times New Roman" w:cs="Times New Roman"/>
          <w:sz w:val="24"/>
          <w:szCs w:val="24"/>
        </w:rPr>
        <w:t>among its nodes (Figure</w:t>
      </w:r>
      <w:r w:rsidR="007A6F3A">
        <w:rPr>
          <w:rFonts w:ascii="Times New Roman" w:hAnsi="Times New Roman" w:cs="Times New Roman"/>
          <w:sz w:val="24"/>
          <w:szCs w:val="24"/>
        </w:rPr>
        <w:t>s</w:t>
      </w:r>
      <w:r w:rsidR="004B0684">
        <w:rPr>
          <w:rFonts w:ascii="Times New Roman" w:hAnsi="Times New Roman" w:cs="Times New Roman"/>
          <w:sz w:val="24"/>
          <w:szCs w:val="24"/>
        </w:rPr>
        <w:t xml:space="preserve"> 2</w:t>
      </w:r>
      <w:r>
        <w:rPr>
          <w:rFonts w:ascii="Times New Roman" w:hAnsi="Times New Roman" w:cs="Times New Roman"/>
          <w:sz w:val="24"/>
          <w:szCs w:val="24"/>
        </w:rPr>
        <w:t>a-e</w:t>
      </w:r>
      <w:r w:rsidR="004B0684">
        <w:rPr>
          <w:rFonts w:ascii="Times New Roman" w:hAnsi="Times New Roman" w:cs="Times New Roman"/>
          <w:sz w:val="24"/>
          <w:szCs w:val="24"/>
        </w:rPr>
        <w:t xml:space="preserve">). </w:t>
      </w:r>
      <w:r w:rsidR="00CC387F">
        <w:rPr>
          <w:rFonts w:ascii="Times New Roman" w:hAnsi="Times New Roman" w:cs="Times New Roman"/>
          <w:sz w:val="24"/>
          <w:szCs w:val="24"/>
        </w:rPr>
        <w:t xml:space="preserve">28% of dyads </w:t>
      </w:r>
      <w:r w:rsidR="0077011C">
        <w:rPr>
          <w:rFonts w:ascii="Times New Roman" w:hAnsi="Times New Roman" w:cs="Times New Roman"/>
          <w:sz w:val="24"/>
          <w:szCs w:val="24"/>
        </w:rPr>
        <w:t>were comprised of one respondent linked to a location but no other people, while 36.4% of triads included one geographic place and two coded respondents.</w:t>
      </w:r>
      <w:r w:rsidR="00C5322A">
        <w:rPr>
          <w:rFonts w:ascii="Times New Roman" w:hAnsi="Times New Roman" w:cs="Times New Roman"/>
          <w:sz w:val="24"/>
          <w:szCs w:val="24"/>
        </w:rPr>
        <w:t xml:space="preserve"> </w:t>
      </w:r>
      <w:r w:rsidR="00C5322A" w:rsidRPr="00C5322A">
        <w:rPr>
          <w:rFonts w:ascii="Times New Roman" w:hAnsi="Times New Roman" w:cs="Times New Roman"/>
          <w:sz w:val="24"/>
          <w:szCs w:val="24"/>
        </w:rPr>
        <w:t xml:space="preserve">Absent of risk behaviour </w:t>
      </w:r>
      <w:r w:rsidR="00C5322A" w:rsidRPr="00C5322A">
        <w:rPr>
          <w:rFonts w:ascii="Times New Roman" w:hAnsi="Times New Roman" w:cs="Times New Roman"/>
          <w:sz w:val="24"/>
          <w:szCs w:val="24"/>
        </w:rPr>
        <w:lastRenderedPageBreak/>
        <w:t xml:space="preserve">spatial information, the network was segmented into 147 networks (Figure </w:t>
      </w:r>
      <w:r w:rsidR="00C5322A">
        <w:rPr>
          <w:rFonts w:ascii="Times New Roman" w:hAnsi="Times New Roman" w:cs="Times New Roman"/>
          <w:sz w:val="24"/>
          <w:szCs w:val="24"/>
        </w:rPr>
        <w:t>1</w:t>
      </w:r>
      <w:r w:rsidR="00074845">
        <w:rPr>
          <w:rFonts w:ascii="Times New Roman" w:hAnsi="Times New Roman" w:cs="Times New Roman"/>
          <w:sz w:val="24"/>
          <w:szCs w:val="24"/>
        </w:rPr>
        <w:t>a</w:t>
      </w:r>
      <w:r w:rsidR="00C5322A" w:rsidRPr="00C5322A">
        <w:rPr>
          <w:rFonts w:ascii="Times New Roman" w:hAnsi="Times New Roman" w:cs="Times New Roman"/>
          <w:sz w:val="24"/>
          <w:szCs w:val="24"/>
        </w:rPr>
        <w:t>), the largest of which was only 46 nodes (Wylie and Jolly, 2013). In the previous analysis, the giant component accounted for less than 8% of the study sample; with locations this group included 55% of all nodes.</w:t>
      </w:r>
      <w:r w:rsidR="00C5322A">
        <w:rPr>
          <w:rFonts w:ascii="Times New Roman" w:hAnsi="Times New Roman" w:cs="Times New Roman"/>
          <w:sz w:val="24"/>
          <w:szCs w:val="24"/>
        </w:rPr>
        <w:t xml:space="preserve"> </w:t>
      </w:r>
      <w:r w:rsidR="00C5322A" w:rsidRPr="00C5322A">
        <w:rPr>
          <w:rFonts w:ascii="Times New Roman" w:hAnsi="Times New Roman" w:cs="Times New Roman"/>
          <w:sz w:val="24"/>
          <w:szCs w:val="24"/>
        </w:rPr>
        <w:t>While social connections could not be established for 128 of the 600 respondents (21.3%), inclusion of the risk behaviour activity sites demonstrated a much more cohesive network.</w:t>
      </w:r>
    </w:p>
    <w:p w:rsidR="002F1913" w:rsidRDefault="002F1913" w:rsidP="00DC77D8">
      <w:pPr>
        <w:rPr>
          <w:rFonts w:ascii="Times New Roman" w:hAnsi="Times New Roman" w:cs="Times New Roman"/>
          <w:sz w:val="24"/>
          <w:szCs w:val="24"/>
        </w:rPr>
      </w:pPr>
      <w:r>
        <w:rPr>
          <w:rFonts w:ascii="Times New Roman" w:hAnsi="Times New Roman" w:cs="Times New Roman"/>
          <w:sz w:val="24"/>
          <w:szCs w:val="24"/>
        </w:rPr>
        <w:t xml:space="preserve">The five largest components (Figure 2) </w:t>
      </w:r>
      <w:r w:rsidR="005F1870">
        <w:rPr>
          <w:rFonts w:ascii="Times New Roman" w:hAnsi="Times New Roman" w:cs="Times New Roman"/>
          <w:sz w:val="24"/>
          <w:szCs w:val="24"/>
        </w:rPr>
        <w:t>account</w:t>
      </w:r>
      <w:r>
        <w:rPr>
          <w:rFonts w:ascii="Times New Roman" w:hAnsi="Times New Roman" w:cs="Times New Roman"/>
          <w:sz w:val="24"/>
          <w:szCs w:val="24"/>
        </w:rPr>
        <w:t xml:space="preserve"> for 72.9 percent of the nodes in the analysis. Among these groups, the mean distance between any two connected respondents or a respondent and a site for risk-related activities was 3.45 kilometers. This is comparable to the mean distance in Component 1 alone (3.7 km), where the site R101 was as far as 37.4 kilometers from some of its connections. Twenty-two percent of connections were less than 100 metres, and forty-four percent were under a kilometer</w:t>
      </w:r>
      <w:r w:rsidR="00214EB2">
        <w:rPr>
          <w:rFonts w:ascii="Times New Roman" w:hAnsi="Times New Roman" w:cs="Times New Roman"/>
          <w:sz w:val="24"/>
          <w:szCs w:val="24"/>
        </w:rPr>
        <w:t xml:space="preserve"> apart</w:t>
      </w:r>
      <w:r>
        <w:rPr>
          <w:rFonts w:ascii="Times New Roman" w:hAnsi="Times New Roman" w:cs="Times New Roman"/>
          <w:sz w:val="24"/>
          <w:szCs w:val="24"/>
        </w:rPr>
        <w:t>.</w:t>
      </w:r>
    </w:p>
    <w:p w:rsidR="00844050" w:rsidRPr="00295AA9" w:rsidRDefault="00844050" w:rsidP="00844050">
      <w:pPr>
        <w:pStyle w:val="Caption"/>
        <w:keepNext/>
        <w:rPr>
          <w:rFonts w:ascii="Times New Roman" w:hAnsi="Times New Roman" w:cs="Times New Roman"/>
          <w:b w:val="0"/>
          <w:color w:val="auto"/>
          <w:sz w:val="24"/>
          <w:szCs w:val="24"/>
        </w:rPr>
      </w:pPr>
      <w:proofErr w:type="gramStart"/>
      <w:r w:rsidRPr="00844050">
        <w:rPr>
          <w:rFonts w:ascii="Times New Roman" w:hAnsi="Times New Roman" w:cs="Times New Roman"/>
          <w:color w:val="auto"/>
          <w:sz w:val="24"/>
          <w:szCs w:val="24"/>
        </w:rPr>
        <w:t xml:space="preserve">Figure </w:t>
      </w:r>
      <w:r w:rsidR="003B1A1A" w:rsidRPr="00844050">
        <w:rPr>
          <w:rFonts w:ascii="Times New Roman" w:hAnsi="Times New Roman" w:cs="Times New Roman"/>
          <w:color w:val="auto"/>
          <w:sz w:val="24"/>
          <w:szCs w:val="24"/>
        </w:rPr>
        <w:fldChar w:fldCharType="begin"/>
      </w:r>
      <w:r w:rsidRPr="00844050">
        <w:rPr>
          <w:rFonts w:ascii="Times New Roman" w:hAnsi="Times New Roman" w:cs="Times New Roman"/>
          <w:color w:val="auto"/>
          <w:sz w:val="24"/>
          <w:szCs w:val="24"/>
        </w:rPr>
        <w:instrText xml:space="preserve"> SEQ Figure \* ARABIC </w:instrText>
      </w:r>
      <w:r w:rsidR="003B1A1A" w:rsidRPr="00844050">
        <w:rPr>
          <w:rFonts w:ascii="Times New Roman" w:hAnsi="Times New Roman" w:cs="Times New Roman"/>
          <w:color w:val="auto"/>
          <w:sz w:val="24"/>
          <w:szCs w:val="24"/>
        </w:rPr>
        <w:fldChar w:fldCharType="separate"/>
      </w:r>
      <w:r w:rsidR="006E71D8">
        <w:rPr>
          <w:rFonts w:ascii="Times New Roman" w:hAnsi="Times New Roman" w:cs="Times New Roman"/>
          <w:noProof/>
          <w:color w:val="auto"/>
          <w:sz w:val="24"/>
          <w:szCs w:val="24"/>
        </w:rPr>
        <w:t>2</w:t>
      </w:r>
      <w:r w:rsidR="003B1A1A" w:rsidRPr="00844050">
        <w:rPr>
          <w:rFonts w:ascii="Times New Roman" w:hAnsi="Times New Roman" w:cs="Times New Roman"/>
          <w:color w:val="auto"/>
          <w:sz w:val="24"/>
          <w:szCs w:val="24"/>
        </w:rPr>
        <w:fldChar w:fldCharType="end"/>
      </w:r>
      <w:r w:rsidRPr="00844050">
        <w:rPr>
          <w:rFonts w:ascii="Times New Roman" w:hAnsi="Times New Roman" w:cs="Times New Roman"/>
          <w:color w:val="auto"/>
          <w:sz w:val="24"/>
          <w:szCs w:val="24"/>
        </w:rPr>
        <w:t>.</w:t>
      </w:r>
      <w:proofErr w:type="gramEnd"/>
      <w:r>
        <w:rPr>
          <w:rFonts w:ascii="Times New Roman" w:hAnsi="Times New Roman" w:cs="Times New Roman"/>
          <w:color w:val="auto"/>
          <w:sz w:val="24"/>
          <w:szCs w:val="24"/>
        </w:rPr>
        <w:t xml:space="preserve"> </w:t>
      </w:r>
      <w:r w:rsidR="00295AA9">
        <w:rPr>
          <w:rFonts w:ascii="Times New Roman" w:hAnsi="Times New Roman" w:cs="Times New Roman"/>
          <w:b w:val="0"/>
          <w:color w:val="auto"/>
          <w:sz w:val="24"/>
          <w:szCs w:val="24"/>
        </w:rPr>
        <w:t>Components larger than size 10</w:t>
      </w:r>
    </w:p>
    <w:tbl>
      <w:tblPr>
        <w:tblStyle w:val="TableGrid"/>
        <w:tblpPr w:leftFromText="180" w:rightFromText="180" w:vertAnchor="text" w:horzAnchor="margin" w:tblpXSpec="center" w:tblpY="89"/>
        <w:tblW w:w="11335" w:type="dxa"/>
        <w:jc w:val="center"/>
        <w:tblLayout w:type="fixed"/>
        <w:tblLook w:val="04A0"/>
      </w:tblPr>
      <w:tblGrid>
        <w:gridCol w:w="1555"/>
        <w:gridCol w:w="3685"/>
        <w:gridCol w:w="2977"/>
        <w:gridCol w:w="3118"/>
      </w:tblGrid>
      <w:tr w:rsidR="00E369BF" w:rsidTr="00BE084C">
        <w:trPr>
          <w:jc w:val="center"/>
        </w:trPr>
        <w:tc>
          <w:tcPr>
            <w:tcW w:w="1555" w:type="dxa"/>
            <w:vAlign w:val="center"/>
          </w:tcPr>
          <w:p w:rsidR="00E369BF" w:rsidRPr="00E369BF" w:rsidRDefault="00E369BF" w:rsidP="00BE084C">
            <w:pPr>
              <w:pStyle w:val="Caption"/>
              <w:keepNext/>
              <w:jc w:val="center"/>
              <w:rPr>
                <w:rFonts w:ascii="Times New Roman" w:hAnsi="Times New Roman" w:cs="Times New Roman"/>
                <w:color w:val="auto"/>
                <w:sz w:val="24"/>
                <w:szCs w:val="24"/>
              </w:rPr>
            </w:pPr>
            <w:r w:rsidRPr="00E369BF">
              <w:rPr>
                <w:rFonts w:ascii="Times New Roman" w:hAnsi="Times New Roman" w:cs="Times New Roman"/>
                <w:color w:val="auto"/>
                <w:sz w:val="24"/>
                <w:szCs w:val="24"/>
              </w:rPr>
              <w:t>Component</w:t>
            </w:r>
          </w:p>
        </w:tc>
        <w:tc>
          <w:tcPr>
            <w:tcW w:w="3685" w:type="dxa"/>
            <w:vAlign w:val="center"/>
          </w:tcPr>
          <w:p w:rsidR="00E369BF" w:rsidRPr="00E369BF" w:rsidRDefault="00E369BF" w:rsidP="00BE084C">
            <w:pPr>
              <w:pStyle w:val="Caption"/>
              <w:keepNext/>
              <w:jc w:val="center"/>
              <w:rPr>
                <w:rFonts w:ascii="Times New Roman" w:hAnsi="Times New Roman" w:cs="Times New Roman"/>
                <w:sz w:val="24"/>
                <w:szCs w:val="24"/>
              </w:rPr>
            </w:pPr>
            <w:r w:rsidRPr="00E369BF">
              <w:rPr>
                <w:rFonts w:ascii="Times New Roman" w:hAnsi="Times New Roman" w:cs="Times New Roman"/>
                <w:color w:val="auto"/>
                <w:sz w:val="24"/>
                <w:szCs w:val="24"/>
              </w:rPr>
              <w:t>Social Network</w:t>
            </w:r>
          </w:p>
        </w:tc>
        <w:tc>
          <w:tcPr>
            <w:tcW w:w="2977" w:type="dxa"/>
            <w:vAlign w:val="center"/>
          </w:tcPr>
          <w:p w:rsidR="00E369BF" w:rsidRPr="00B6717A" w:rsidRDefault="00B6717A" w:rsidP="00BE084C">
            <w:pPr>
              <w:jc w:val="center"/>
              <w:rPr>
                <w:rFonts w:ascii="Times New Roman" w:hAnsi="Times New Roman" w:cs="Times New Roman"/>
                <w:b/>
                <w:noProof/>
                <w:sz w:val="24"/>
                <w:szCs w:val="24"/>
                <w:lang w:eastAsia="en-CA"/>
              </w:rPr>
            </w:pPr>
            <w:r>
              <w:rPr>
                <w:rFonts w:ascii="Times New Roman" w:hAnsi="Times New Roman" w:cs="Times New Roman"/>
                <w:b/>
                <w:noProof/>
                <w:sz w:val="24"/>
                <w:szCs w:val="24"/>
                <w:lang w:eastAsia="en-CA"/>
              </w:rPr>
              <w:t>Geographic Extent</w:t>
            </w:r>
          </w:p>
        </w:tc>
        <w:tc>
          <w:tcPr>
            <w:tcW w:w="3118" w:type="dxa"/>
          </w:tcPr>
          <w:p w:rsidR="00E369BF" w:rsidRPr="00B6717A" w:rsidRDefault="00B6717A" w:rsidP="00BE084C">
            <w:pPr>
              <w:jc w:val="center"/>
              <w:rPr>
                <w:rFonts w:ascii="Times New Roman" w:hAnsi="Times New Roman" w:cs="Times New Roman"/>
                <w:b/>
                <w:sz w:val="24"/>
                <w:szCs w:val="24"/>
              </w:rPr>
            </w:pPr>
            <w:r>
              <w:rPr>
                <w:rFonts w:ascii="Times New Roman" w:hAnsi="Times New Roman" w:cs="Times New Roman"/>
                <w:b/>
                <w:sz w:val="24"/>
                <w:szCs w:val="24"/>
              </w:rPr>
              <w:t xml:space="preserve">Highest </w:t>
            </w:r>
            <w:proofErr w:type="spellStart"/>
            <w:r>
              <w:rPr>
                <w:rFonts w:ascii="Times New Roman" w:hAnsi="Times New Roman" w:cs="Times New Roman"/>
                <w:b/>
                <w:sz w:val="24"/>
                <w:szCs w:val="24"/>
              </w:rPr>
              <w:t>Betweenness</w:t>
            </w:r>
            <w:proofErr w:type="spellEnd"/>
            <w:r>
              <w:rPr>
                <w:rFonts w:ascii="Times New Roman" w:hAnsi="Times New Roman" w:cs="Times New Roman"/>
                <w:b/>
                <w:sz w:val="24"/>
                <w:szCs w:val="24"/>
              </w:rPr>
              <w:t xml:space="preserve"> in Component</w:t>
            </w:r>
          </w:p>
        </w:tc>
      </w:tr>
      <w:tr w:rsidR="00BE084C" w:rsidTr="00BE084C">
        <w:trPr>
          <w:jc w:val="center"/>
        </w:trPr>
        <w:tc>
          <w:tcPr>
            <w:tcW w:w="1555" w:type="dxa"/>
            <w:vAlign w:val="center"/>
          </w:tcPr>
          <w:p w:rsidR="00BE084C" w:rsidRPr="00844050" w:rsidRDefault="00BE084C" w:rsidP="00BE084C">
            <w:pPr>
              <w:pStyle w:val="Caption"/>
              <w:keepNext/>
              <w:jc w:val="center"/>
              <w:rPr>
                <w:rFonts w:ascii="Times New Roman" w:hAnsi="Times New Roman" w:cs="Times New Roman"/>
                <w:color w:val="auto"/>
                <w:sz w:val="24"/>
                <w:szCs w:val="24"/>
              </w:rPr>
            </w:pPr>
            <w:r w:rsidRPr="00844050">
              <w:rPr>
                <w:rFonts w:ascii="Times New Roman" w:hAnsi="Times New Roman" w:cs="Times New Roman"/>
                <w:color w:val="auto"/>
                <w:sz w:val="24"/>
                <w:szCs w:val="24"/>
              </w:rPr>
              <w:t>(A)</w:t>
            </w:r>
          </w:p>
          <w:p w:rsidR="00BE084C" w:rsidRPr="00844050" w:rsidRDefault="00BE084C" w:rsidP="00BE084C">
            <w:pPr>
              <w:pStyle w:val="Caption"/>
              <w:keepNext/>
              <w:jc w:val="center"/>
              <w:rPr>
                <w:rFonts w:ascii="Times New Roman" w:hAnsi="Times New Roman" w:cs="Times New Roman"/>
                <w:color w:val="auto"/>
                <w:sz w:val="24"/>
                <w:szCs w:val="24"/>
              </w:rPr>
            </w:pPr>
            <w:r w:rsidRPr="00844050">
              <w:rPr>
                <w:rFonts w:ascii="Times New Roman" w:hAnsi="Times New Roman" w:cs="Times New Roman"/>
                <w:color w:val="auto"/>
                <w:sz w:val="24"/>
                <w:szCs w:val="24"/>
              </w:rPr>
              <w:t xml:space="preserve">Component 1 </w:t>
            </w:r>
          </w:p>
          <w:p w:rsidR="00BE084C" w:rsidRPr="00433E0A" w:rsidRDefault="00BE084C" w:rsidP="00BE084C">
            <w:pPr>
              <w:pStyle w:val="Caption"/>
              <w:keepNext/>
              <w:jc w:val="center"/>
              <w:rPr>
                <w:color w:val="auto"/>
              </w:rPr>
            </w:pPr>
            <w:r w:rsidRPr="00844050">
              <w:rPr>
                <w:rFonts w:ascii="Times New Roman" w:hAnsi="Times New Roman" w:cs="Times New Roman"/>
                <w:color w:val="auto"/>
                <w:sz w:val="24"/>
                <w:szCs w:val="24"/>
              </w:rPr>
              <w:t>(n = 366)</w:t>
            </w:r>
          </w:p>
        </w:tc>
        <w:tc>
          <w:tcPr>
            <w:tcW w:w="3685" w:type="dxa"/>
            <w:vAlign w:val="center"/>
          </w:tcPr>
          <w:p w:rsidR="00BE084C" w:rsidRPr="00433E0A" w:rsidRDefault="008353FA" w:rsidP="00BE084C">
            <w:pPr>
              <w:pStyle w:val="Caption"/>
              <w:keepNext/>
              <w:jc w:val="center"/>
              <w:rPr>
                <w:color w:val="auto"/>
              </w:rPr>
            </w:pPr>
            <w:r w:rsidRPr="00785F44">
              <w:rPr>
                <w:rFonts w:ascii="Times New Roman" w:hAnsi="Times New Roman" w:cs="Times New Roman"/>
                <w:noProof/>
                <w:sz w:val="24"/>
                <w:szCs w:val="24"/>
                <w:lang w:val="en-US"/>
              </w:rPr>
              <w:drawing>
                <wp:anchor distT="0" distB="0" distL="114300" distR="114300" simplePos="0" relativeHeight="251714048" behindDoc="0" locked="0" layoutInCell="1" allowOverlap="1">
                  <wp:simplePos x="1343025" y="3838575"/>
                  <wp:positionH relativeFrom="margin">
                    <wp:posOffset>-60325</wp:posOffset>
                  </wp:positionH>
                  <wp:positionV relativeFrom="margin">
                    <wp:posOffset>201930</wp:posOffset>
                  </wp:positionV>
                  <wp:extent cx="2269490" cy="127635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69490" cy="1276350"/>
                          </a:xfrm>
                          <a:prstGeom prst="rect">
                            <a:avLst/>
                          </a:prstGeom>
                        </pic:spPr>
                      </pic:pic>
                    </a:graphicData>
                  </a:graphic>
                </wp:anchor>
              </w:drawing>
            </w:r>
          </w:p>
          <w:p w:rsidR="00BE084C" w:rsidRDefault="00BE084C" w:rsidP="00BE084C">
            <w:pPr>
              <w:jc w:val="center"/>
              <w:rPr>
                <w:rFonts w:ascii="Times New Roman" w:hAnsi="Times New Roman" w:cs="Times New Roman"/>
                <w:sz w:val="24"/>
                <w:szCs w:val="24"/>
              </w:rPr>
            </w:pPr>
          </w:p>
        </w:tc>
        <w:tc>
          <w:tcPr>
            <w:tcW w:w="2977" w:type="dxa"/>
            <w:vAlign w:val="center"/>
          </w:tcPr>
          <w:p w:rsidR="00BE084C" w:rsidRDefault="0090151A" w:rsidP="00BE084C">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1753235" cy="135509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Component 1 Spatial Extent.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53235" cy="1355090"/>
                          </a:xfrm>
                          <a:prstGeom prst="rect">
                            <a:avLst/>
                          </a:prstGeom>
                        </pic:spPr>
                      </pic:pic>
                    </a:graphicData>
                  </a:graphic>
                </wp:inline>
              </w:drawing>
            </w:r>
          </w:p>
        </w:tc>
        <w:tc>
          <w:tcPr>
            <w:tcW w:w="3118" w:type="dxa"/>
          </w:tcPr>
          <w:tbl>
            <w:tblPr>
              <w:tblW w:w="2760" w:type="dxa"/>
              <w:tblLayout w:type="fixed"/>
              <w:tblCellMar>
                <w:left w:w="0" w:type="dxa"/>
                <w:right w:w="0" w:type="dxa"/>
              </w:tblCellMar>
              <w:tblLook w:val="0600"/>
            </w:tblPr>
            <w:tblGrid>
              <w:gridCol w:w="1280"/>
              <w:gridCol w:w="1480"/>
            </w:tblGrid>
            <w:tr w:rsidR="00BE084C" w:rsidRPr="00BE084C" w:rsidTr="00BE084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E084C" w:rsidRPr="00BE084C" w:rsidRDefault="00BE084C" w:rsidP="008353FA">
                  <w:pPr>
                    <w:framePr w:hSpace="180" w:wrap="around" w:vAnchor="text" w:hAnchor="margin" w:xAlign="center" w:y="89"/>
                    <w:spacing w:after="0" w:line="240" w:lineRule="auto"/>
                    <w:jc w:val="center"/>
                    <w:rPr>
                      <w:rFonts w:ascii="Times New Roman" w:hAnsi="Times New Roman" w:cs="Times New Roman"/>
                      <w:sz w:val="24"/>
                      <w:szCs w:val="24"/>
                    </w:rPr>
                  </w:pPr>
                  <w:r w:rsidRPr="00BE084C">
                    <w:rPr>
                      <w:rFonts w:ascii="Times New Roman" w:hAnsi="Times New Roman" w:cs="Times New Roman"/>
                      <w:sz w:val="24"/>
                      <w:szCs w:val="24"/>
                    </w:rPr>
                    <w:t>Node</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E084C" w:rsidRPr="00BE084C" w:rsidRDefault="00BE084C" w:rsidP="008353FA">
                  <w:pPr>
                    <w:framePr w:hSpace="180" w:wrap="around" w:vAnchor="text" w:hAnchor="margin" w:xAlign="center" w:y="89"/>
                    <w:spacing w:after="0" w:line="240" w:lineRule="auto"/>
                    <w:jc w:val="center"/>
                    <w:rPr>
                      <w:rFonts w:ascii="Times New Roman" w:hAnsi="Times New Roman" w:cs="Times New Roman"/>
                      <w:sz w:val="24"/>
                      <w:szCs w:val="24"/>
                    </w:rPr>
                  </w:pPr>
                  <w:proofErr w:type="spellStart"/>
                  <w:r w:rsidRPr="00BE084C">
                    <w:rPr>
                      <w:rFonts w:ascii="Times New Roman" w:hAnsi="Times New Roman" w:cs="Times New Roman"/>
                      <w:sz w:val="24"/>
                      <w:szCs w:val="24"/>
                    </w:rPr>
                    <w:t>Betweenness</w:t>
                  </w:r>
                  <w:proofErr w:type="spellEnd"/>
                </w:p>
              </w:tc>
            </w:tr>
            <w:tr w:rsidR="00BE084C" w:rsidRPr="00BE084C" w:rsidTr="00BE084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E084C" w:rsidRPr="00BE084C" w:rsidRDefault="00BE084C" w:rsidP="008353FA">
                  <w:pPr>
                    <w:framePr w:hSpace="180" w:wrap="around" w:vAnchor="text" w:hAnchor="margin" w:xAlign="center" w:y="89"/>
                    <w:spacing w:after="0" w:line="240" w:lineRule="auto"/>
                    <w:jc w:val="center"/>
                    <w:rPr>
                      <w:rFonts w:ascii="Times New Roman" w:hAnsi="Times New Roman" w:cs="Times New Roman"/>
                      <w:sz w:val="24"/>
                      <w:szCs w:val="24"/>
                    </w:rPr>
                  </w:pPr>
                  <w:r w:rsidRPr="00BE084C">
                    <w:rPr>
                      <w:rFonts w:ascii="Times New Roman" w:hAnsi="Times New Roman" w:cs="Times New Roman"/>
                      <w:sz w:val="24"/>
                      <w:szCs w:val="24"/>
                    </w:rPr>
                    <w:t>R101</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E084C" w:rsidRPr="00BE084C" w:rsidRDefault="00BE084C" w:rsidP="008353FA">
                  <w:pPr>
                    <w:framePr w:hSpace="180" w:wrap="around" w:vAnchor="text" w:hAnchor="margin" w:xAlign="center" w:y="89"/>
                    <w:spacing w:after="0" w:line="240" w:lineRule="auto"/>
                    <w:jc w:val="center"/>
                    <w:rPr>
                      <w:rFonts w:ascii="Times New Roman" w:hAnsi="Times New Roman" w:cs="Times New Roman"/>
                      <w:sz w:val="24"/>
                      <w:szCs w:val="24"/>
                    </w:rPr>
                  </w:pPr>
                  <w:r w:rsidRPr="00BE084C">
                    <w:rPr>
                      <w:rFonts w:ascii="Times New Roman" w:hAnsi="Times New Roman" w:cs="Times New Roman"/>
                      <w:sz w:val="24"/>
                      <w:szCs w:val="24"/>
                    </w:rPr>
                    <w:t>0.52459732</w:t>
                  </w:r>
                </w:p>
              </w:tc>
            </w:tr>
            <w:tr w:rsidR="00BE084C" w:rsidRPr="00BE084C" w:rsidTr="00BE084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E084C" w:rsidRPr="00BE084C" w:rsidRDefault="00BE084C" w:rsidP="008353FA">
                  <w:pPr>
                    <w:framePr w:hSpace="180" w:wrap="around" w:vAnchor="text" w:hAnchor="margin" w:xAlign="center" w:y="89"/>
                    <w:spacing w:after="0" w:line="240" w:lineRule="auto"/>
                    <w:jc w:val="center"/>
                    <w:rPr>
                      <w:rFonts w:ascii="Times New Roman" w:hAnsi="Times New Roman" w:cs="Times New Roman"/>
                      <w:sz w:val="24"/>
                      <w:szCs w:val="24"/>
                    </w:rPr>
                  </w:pPr>
                  <w:r w:rsidRPr="00BE084C">
                    <w:rPr>
                      <w:rFonts w:ascii="Times New Roman" w:hAnsi="Times New Roman" w:cs="Times New Roman"/>
                      <w:sz w:val="24"/>
                      <w:szCs w:val="24"/>
                    </w:rPr>
                    <w:t>84</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E084C" w:rsidRPr="00BE084C" w:rsidRDefault="00BE084C" w:rsidP="008353FA">
                  <w:pPr>
                    <w:framePr w:hSpace="180" w:wrap="around" w:vAnchor="text" w:hAnchor="margin" w:xAlign="center" w:y="89"/>
                    <w:spacing w:after="0" w:line="240" w:lineRule="auto"/>
                    <w:jc w:val="center"/>
                    <w:rPr>
                      <w:rFonts w:ascii="Times New Roman" w:hAnsi="Times New Roman" w:cs="Times New Roman"/>
                      <w:sz w:val="24"/>
                      <w:szCs w:val="24"/>
                    </w:rPr>
                  </w:pPr>
                  <w:r w:rsidRPr="00BE084C">
                    <w:rPr>
                      <w:rFonts w:ascii="Times New Roman" w:hAnsi="Times New Roman" w:cs="Times New Roman"/>
                      <w:sz w:val="24"/>
                      <w:szCs w:val="24"/>
                    </w:rPr>
                    <w:t>0.487359125</w:t>
                  </w:r>
                </w:p>
              </w:tc>
            </w:tr>
            <w:tr w:rsidR="00BE084C" w:rsidRPr="00BE084C" w:rsidTr="00BE084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E084C" w:rsidRPr="00BE084C" w:rsidRDefault="00BE084C" w:rsidP="008353FA">
                  <w:pPr>
                    <w:framePr w:hSpace="180" w:wrap="around" w:vAnchor="text" w:hAnchor="margin" w:xAlign="center" w:y="89"/>
                    <w:spacing w:after="0" w:line="240" w:lineRule="auto"/>
                    <w:jc w:val="center"/>
                    <w:rPr>
                      <w:rFonts w:ascii="Times New Roman" w:hAnsi="Times New Roman" w:cs="Times New Roman"/>
                      <w:sz w:val="24"/>
                      <w:szCs w:val="24"/>
                    </w:rPr>
                  </w:pPr>
                  <w:r w:rsidRPr="00BE084C">
                    <w:rPr>
                      <w:rFonts w:ascii="Times New Roman" w:hAnsi="Times New Roman" w:cs="Times New Roman"/>
                      <w:sz w:val="24"/>
                      <w:szCs w:val="24"/>
                    </w:rPr>
                    <w:t>115</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E084C" w:rsidRPr="00BE084C" w:rsidRDefault="00BE084C" w:rsidP="008353FA">
                  <w:pPr>
                    <w:framePr w:hSpace="180" w:wrap="around" w:vAnchor="text" w:hAnchor="margin" w:xAlign="center" w:y="89"/>
                    <w:spacing w:after="0" w:line="240" w:lineRule="auto"/>
                    <w:jc w:val="center"/>
                    <w:rPr>
                      <w:rFonts w:ascii="Times New Roman" w:hAnsi="Times New Roman" w:cs="Times New Roman"/>
                      <w:sz w:val="24"/>
                      <w:szCs w:val="24"/>
                    </w:rPr>
                  </w:pPr>
                  <w:r w:rsidRPr="00BE084C">
                    <w:rPr>
                      <w:rFonts w:ascii="Times New Roman" w:hAnsi="Times New Roman" w:cs="Times New Roman"/>
                      <w:sz w:val="24"/>
                      <w:szCs w:val="24"/>
                    </w:rPr>
                    <w:t>0.458573</w:t>
                  </w:r>
                </w:p>
              </w:tc>
            </w:tr>
            <w:tr w:rsidR="00BE084C" w:rsidRPr="00BE084C" w:rsidTr="00BE084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E084C" w:rsidRPr="00BE084C" w:rsidRDefault="00BE084C" w:rsidP="008353FA">
                  <w:pPr>
                    <w:framePr w:hSpace="180" w:wrap="around" w:vAnchor="text" w:hAnchor="margin" w:xAlign="center" w:y="89"/>
                    <w:spacing w:after="0" w:line="240" w:lineRule="auto"/>
                    <w:jc w:val="center"/>
                    <w:rPr>
                      <w:rFonts w:ascii="Times New Roman" w:hAnsi="Times New Roman" w:cs="Times New Roman"/>
                      <w:sz w:val="24"/>
                      <w:szCs w:val="24"/>
                    </w:rPr>
                  </w:pPr>
                  <w:r w:rsidRPr="00BE084C">
                    <w:rPr>
                      <w:rFonts w:ascii="Times New Roman" w:hAnsi="Times New Roman" w:cs="Times New Roman"/>
                      <w:sz w:val="24"/>
                      <w:szCs w:val="24"/>
                    </w:rPr>
                    <w:t>239</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E084C" w:rsidRPr="00BE084C" w:rsidRDefault="00BE084C" w:rsidP="008353FA">
                  <w:pPr>
                    <w:framePr w:hSpace="180" w:wrap="around" w:vAnchor="text" w:hAnchor="margin" w:xAlign="center" w:y="89"/>
                    <w:spacing w:after="0" w:line="240" w:lineRule="auto"/>
                    <w:jc w:val="center"/>
                    <w:rPr>
                      <w:rFonts w:ascii="Times New Roman" w:hAnsi="Times New Roman" w:cs="Times New Roman"/>
                      <w:sz w:val="24"/>
                      <w:szCs w:val="24"/>
                    </w:rPr>
                  </w:pPr>
                  <w:r w:rsidRPr="00BE084C">
                    <w:rPr>
                      <w:rFonts w:ascii="Times New Roman" w:hAnsi="Times New Roman" w:cs="Times New Roman"/>
                      <w:sz w:val="24"/>
                      <w:szCs w:val="24"/>
                    </w:rPr>
                    <w:t>0.45347</w:t>
                  </w:r>
                </w:p>
              </w:tc>
            </w:tr>
            <w:tr w:rsidR="00BE084C" w:rsidRPr="00BE084C" w:rsidTr="00BE084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E084C" w:rsidRPr="00BE084C" w:rsidRDefault="00BE084C" w:rsidP="008353FA">
                  <w:pPr>
                    <w:framePr w:hSpace="180" w:wrap="around" w:vAnchor="text" w:hAnchor="margin" w:xAlign="center" w:y="89"/>
                    <w:spacing w:after="0" w:line="240" w:lineRule="auto"/>
                    <w:jc w:val="center"/>
                    <w:rPr>
                      <w:rFonts w:ascii="Times New Roman" w:hAnsi="Times New Roman" w:cs="Times New Roman"/>
                      <w:sz w:val="24"/>
                      <w:szCs w:val="24"/>
                    </w:rPr>
                  </w:pPr>
                  <w:r w:rsidRPr="00BE084C">
                    <w:rPr>
                      <w:rFonts w:ascii="Times New Roman" w:hAnsi="Times New Roman" w:cs="Times New Roman"/>
                      <w:sz w:val="24"/>
                      <w:szCs w:val="24"/>
                    </w:rPr>
                    <w:t>171</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E084C" w:rsidRPr="00BE084C" w:rsidRDefault="00BE084C" w:rsidP="008353FA">
                  <w:pPr>
                    <w:framePr w:hSpace="180" w:wrap="around" w:vAnchor="text" w:hAnchor="margin" w:xAlign="center" w:y="89"/>
                    <w:spacing w:after="0" w:line="240" w:lineRule="auto"/>
                    <w:jc w:val="center"/>
                    <w:rPr>
                      <w:rFonts w:ascii="Times New Roman" w:hAnsi="Times New Roman" w:cs="Times New Roman"/>
                      <w:sz w:val="24"/>
                      <w:szCs w:val="24"/>
                    </w:rPr>
                  </w:pPr>
                  <w:r w:rsidRPr="00BE084C">
                    <w:rPr>
                      <w:rFonts w:ascii="Times New Roman" w:hAnsi="Times New Roman" w:cs="Times New Roman"/>
                      <w:sz w:val="24"/>
                      <w:szCs w:val="24"/>
                    </w:rPr>
                    <w:t>0.453319</w:t>
                  </w:r>
                </w:p>
              </w:tc>
            </w:tr>
            <w:tr w:rsidR="00BE084C" w:rsidRPr="00BE084C" w:rsidTr="00BE084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E084C" w:rsidRPr="00BE084C" w:rsidRDefault="00BE084C" w:rsidP="008353FA">
                  <w:pPr>
                    <w:framePr w:hSpace="180" w:wrap="around" w:vAnchor="text" w:hAnchor="margin" w:xAlign="center" w:y="89"/>
                    <w:spacing w:after="0" w:line="240" w:lineRule="auto"/>
                    <w:jc w:val="center"/>
                    <w:rPr>
                      <w:rFonts w:ascii="Times New Roman" w:hAnsi="Times New Roman" w:cs="Times New Roman"/>
                      <w:sz w:val="24"/>
                      <w:szCs w:val="24"/>
                    </w:rPr>
                  </w:pPr>
                  <w:r w:rsidRPr="00BE084C">
                    <w:rPr>
                      <w:rFonts w:ascii="Times New Roman" w:hAnsi="Times New Roman" w:cs="Times New Roman"/>
                      <w:sz w:val="24"/>
                      <w:szCs w:val="24"/>
                    </w:rPr>
                    <w:t>R55</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E084C" w:rsidRPr="00BE084C" w:rsidRDefault="00BE084C" w:rsidP="008353FA">
                  <w:pPr>
                    <w:framePr w:hSpace="180" w:wrap="around" w:vAnchor="text" w:hAnchor="margin" w:xAlign="center" w:y="89"/>
                    <w:spacing w:after="0" w:line="240" w:lineRule="auto"/>
                    <w:jc w:val="center"/>
                    <w:rPr>
                      <w:rFonts w:ascii="Times New Roman" w:hAnsi="Times New Roman" w:cs="Times New Roman"/>
                      <w:sz w:val="24"/>
                      <w:szCs w:val="24"/>
                    </w:rPr>
                  </w:pPr>
                  <w:r w:rsidRPr="00BE084C">
                    <w:rPr>
                      <w:rFonts w:ascii="Times New Roman" w:hAnsi="Times New Roman" w:cs="Times New Roman"/>
                      <w:sz w:val="24"/>
                      <w:szCs w:val="24"/>
                    </w:rPr>
                    <w:t>0.442058809</w:t>
                  </w:r>
                </w:p>
              </w:tc>
            </w:tr>
            <w:tr w:rsidR="00BE084C" w:rsidRPr="00BE084C" w:rsidTr="00BE084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E084C" w:rsidRPr="00BE084C" w:rsidRDefault="00BE084C" w:rsidP="008353FA">
                  <w:pPr>
                    <w:framePr w:hSpace="180" w:wrap="around" w:vAnchor="text" w:hAnchor="margin" w:xAlign="center" w:y="89"/>
                    <w:spacing w:after="0" w:line="240" w:lineRule="auto"/>
                    <w:jc w:val="center"/>
                    <w:rPr>
                      <w:rFonts w:ascii="Times New Roman" w:hAnsi="Times New Roman" w:cs="Times New Roman"/>
                      <w:sz w:val="24"/>
                      <w:szCs w:val="24"/>
                    </w:rPr>
                  </w:pPr>
                  <w:r w:rsidRPr="00BE084C">
                    <w:rPr>
                      <w:rFonts w:ascii="Times New Roman" w:hAnsi="Times New Roman" w:cs="Times New Roman"/>
                      <w:sz w:val="24"/>
                      <w:szCs w:val="24"/>
                    </w:rPr>
                    <w:t>592</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E084C" w:rsidRPr="00BE084C" w:rsidRDefault="00BE084C" w:rsidP="008353FA">
                  <w:pPr>
                    <w:framePr w:hSpace="180" w:wrap="around" w:vAnchor="text" w:hAnchor="margin" w:xAlign="center" w:y="89"/>
                    <w:spacing w:after="0" w:line="240" w:lineRule="auto"/>
                    <w:jc w:val="center"/>
                    <w:rPr>
                      <w:rFonts w:ascii="Times New Roman" w:hAnsi="Times New Roman" w:cs="Times New Roman"/>
                      <w:sz w:val="24"/>
                      <w:szCs w:val="24"/>
                    </w:rPr>
                  </w:pPr>
                  <w:r w:rsidRPr="00BE084C">
                    <w:rPr>
                      <w:rFonts w:ascii="Times New Roman" w:hAnsi="Times New Roman" w:cs="Times New Roman"/>
                      <w:sz w:val="24"/>
                      <w:szCs w:val="24"/>
                    </w:rPr>
                    <w:t>0.429493</w:t>
                  </w:r>
                </w:p>
              </w:tc>
            </w:tr>
            <w:tr w:rsidR="00BE084C" w:rsidRPr="00BE084C" w:rsidTr="00BE084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E084C" w:rsidRPr="00BE084C" w:rsidRDefault="00BE084C" w:rsidP="008353FA">
                  <w:pPr>
                    <w:framePr w:hSpace="180" w:wrap="around" w:vAnchor="text" w:hAnchor="margin" w:xAlign="center" w:y="89"/>
                    <w:spacing w:after="0" w:line="240" w:lineRule="auto"/>
                    <w:jc w:val="center"/>
                    <w:rPr>
                      <w:rFonts w:ascii="Times New Roman" w:hAnsi="Times New Roman" w:cs="Times New Roman"/>
                      <w:sz w:val="24"/>
                      <w:szCs w:val="24"/>
                    </w:rPr>
                  </w:pPr>
                  <w:r w:rsidRPr="00BE084C">
                    <w:rPr>
                      <w:rFonts w:ascii="Times New Roman" w:hAnsi="Times New Roman" w:cs="Times New Roman"/>
                      <w:sz w:val="24"/>
                      <w:szCs w:val="24"/>
                    </w:rPr>
                    <w:t>107</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E084C" w:rsidRPr="00BE084C" w:rsidRDefault="00BE084C" w:rsidP="008353FA">
                  <w:pPr>
                    <w:framePr w:hSpace="180" w:wrap="around" w:vAnchor="text" w:hAnchor="margin" w:xAlign="center" w:y="89"/>
                    <w:spacing w:after="0" w:line="240" w:lineRule="auto"/>
                    <w:jc w:val="center"/>
                    <w:rPr>
                      <w:rFonts w:ascii="Times New Roman" w:hAnsi="Times New Roman" w:cs="Times New Roman"/>
                      <w:sz w:val="24"/>
                      <w:szCs w:val="24"/>
                    </w:rPr>
                  </w:pPr>
                  <w:r w:rsidRPr="00BE084C">
                    <w:rPr>
                      <w:rFonts w:ascii="Times New Roman" w:hAnsi="Times New Roman" w:cs="Times New Roman"/>
                      <w:sz w:val="24"/>
                      <w:szCs w:val="24"/>
                    </w:rPr>
                    <w:t>0.425018</w:t>
                  </w:r>
                </w:p>
              </w:tc>
            </w:tr>
            <w:tr w:rsidR="00BE084C" w:rsidRPr="00BE084C" w:rsidTr="00BE084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E084C" w:rsidRPr="00BE084C" w:rsidRDefault="00BE084C" w:rsidP="008353FA">
                  <w:pPr>
                    <w:framePr w:hSpace="180" w:wrap="around" w:vAnchor="text" w:hAnchor="margin" w:xAlign="center" w:y="89"/>
                    <w:spacing w:after="0" w:line="240" w:lineRule="auto"/>
                    <w:jc w:val="center"/>
                    <w:rPr>
                      <w:rFonts w:ascii="Times New Roman" w:hAnsi="Times New Roman" w:cs="Times New Roman"/>
                      <w:sz w:val="24"/>
                      <w:szCs w:val="24"/>
                    </w:rPr>
                  </w:pPr>
                  <w:r w:rsidRPr="00BE084C">
                    <w:rPr>
                      <w:rFonts w:ascii="Times New Roman" w:hAnsi="Times New Roman" w:cs="Times New Roman"/>
                      <w:sz w:val="24"/>
                      <w:szCs w:val="24"/>
                    </w:rPr>
                    <w:t>R45</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E084C" w:rsidRPr="00BE084C" w:rsidRDefault="00BE084C" w:rsidP="008353FA">
                  <w:pPr>
                    <w:framePr w:hSpace="180" w:wrap="around" w:vAnchor="text" w:hAnchor="margin" w:xAlign="center" w:y="89"/>
                    <w:spacing w:after="0" w:line="240" w:lineRule="auto"/>
                    <w:jc w:val="center"/>
                    <w:rPr>
                      <w:rFonts w:ascii="Times New Roman" w:hAnsi="Times New Roman" w:cs="Times New Roman"/>
                      <w:sz w:val="24"/>
                      <w:szCs w:val="24"/>
                    </w:rPr>
                  </w:pPr>
                  <w:r w:rsidRPr="00BE084C">
                    <w:rPr>
                      <w:rFonts w:ascii="Times New Roman" w:hAnsi="Times New Roman" w:cs="Times New Roman"/>
                      <w:sz w:val="24"/>
                      <w:szCs w:val="24"/>
                    </w:rPr>
                    <w:t>0.406562</w:t>
                  </w:r>
                </w:p>
              </w:tc>
            </w:tr>
            <w:tr w:rsidR="00BE084C" w:rsidRPr="00BE084C" w:rsidTr="00BE084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E084C" w:rsidRPr="00BE084C" w:rsidRDefault="00BE084C" w:rsidP="008353FA">
                  <w:pPr>
                    <w:framePr w:hSpace="180" w:wrap="around" w:vAnchor="text" w:hAnchor="margin" w:xAlign="center" w:y="89"/>
                    <w:spacing w:after="0" w:line="240" w:lineRule="auto"/>
                    <w:jc w:val="center"/>
                    <w:rPr>
                      <w:rFonts w:ascii="Times New Roman" w:hAnsi="Times New Roman" w:cs="Times New Roman"/>
                      <w:sz w:val="24"/>
                      <w:szCs w:val="24"/>
                    </w:rPr>
                  </w:pPr>
                  <w:r w:rsidRPr="00BE084C">
                    <w:rPr>
                      <w:rFonts w:ascii="Times New Roman" w:hAnsi="Times New Roman" w:cs="Times New Roman"/>
                      <w:sz w:val="24"/>
                      <w:szCs w:val="24"/>
                    </w:rPr>
                    <w:t>95</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E084C" w:rsidRPr="00BE084C" w:rsidRDefault="00BE084C" w:rsidP="008353FA">
                  <w:pPr>
                    <w:framePr w:hSpace="180" w:wrap="around" w:vAnchor="text" w:hAnchor="margin" w:xAlign="center" w:y="89"/>
                    <w:spacing w:after="0" w:line="240" w:lineRule="auto"/>
                    <w:jc w:val="center"/>
                    <w:rPr>
                      <w:rFonts w:ascii="Times New Roman" w:hAnsi="Times New Roman" w:cs="Times New Roman"/>
                      <w:sz w:val="24"/>
                      <w:szCs w:val="24"/>
                    </w:rPr>
                  </w:pPr>
                  <w:r w:rsidRPr="00BE084C">
                    <w:rPr>
                      <w:rFonts w:ascii="Times New Roman" w:hAnsi="Times New Roman" w:cs="Times New Roman"/>
                      <w:sz w:val="24"/>
                      <w:szCs w:val="24"/>
                    </w:rPr>
                    <w:t>0.313019</w:t>
                  </w:r>
                </w:p>
              </w:tc>
            </w:tr>
          </w:tbl>
          <w:p w:rsidR="00BE084C" w:rsidRDefault="00BE084C" w:rsidP="00BE084C">
            <w:pPr>
              <w:jc w:val="center"/>
              <w:rPr>
                <w:rFonts w:ascii="Times New Roman" w:hAnsi="Times New Roman" w:cs="Times New Roman"/>
                <w:sz w:val="24"/>
                <w:szCs w:val="24"/>
              </w:rPr>
            </w:pPr>
          </w:p>
        </w:tc>
      </w:tr>
      <w:tr w:rsidR="00BE084C" w:rsidTr="00077E53">
        <w:trPr>
          <w:jc w:val="center"/>
        </w:trPr>
        <w:tc>
          <w:tcPr>
            <w:tcW w:w="1555" w:type="dxa"/>
            <w:tcBorders>
              <w:bottom w:val="single" w:sz="4" w:space="0" w:color="auto"/>
            </w:tcBorders>
            <w:vAlign w:val="center"/>
          </w:tcPr>
          <w:p w:rsidR="00BE084C" w:rsidRPr="00844050" w:rsidRDefault="00BE084C" w:rsidP="00BE084C">
            <w:pPr>
              <w:pStyle w:val="Caption"/>
              <w:keepNext/>
              <w:jc w:val="center"/>
              <w:rPr>
                <w:rFonts w:ascii="Times New Roman" w:hAnsi="Times New Roman" w:cs="Times New Roman"/>
                <w:color w:val="auto"/>
                <w:sz w:val="24"/>
                <w:szCs w:val="24"/>
              </w:rPr>
            </w:pPr>
            <w:r w:rsidRPr="00844050">
              <w:rPr>
                <w:rFonts w:ascii="Times New Roman" w:hAnsi="Times New Roman" w:cs="Times New Roman"/>
                <w:color w:val="auto"/>
                <w:sz w:val="24"/>
                <w:szCs w:val="24"/>
              </w:rPr>
              <w:t>(B)</w:t>
            </w:r>
          </w:p>
          <w:p w:rsidR="00BE084C" w:rsidRPr="00844050" w:rsidRDefault="00BE084C" w:rsidP="00BE084C">
            <w:pPr>
              <w:pStyle w:val="Caption"/>
              <w:keepNext/>
              <w:jc w:val="center"/>
              <w:rPr>
                <w:rFonts w:ascii="Times New Roman" w:hAnsi="Times New Roman" w:cs="Times New Roman"/>
                <w:color w:val="auto"/>
                <w:sz w:val="24"/>
                <w:szCs w:val="24"/>
              </w:rPr>
            </w:pPr>
            <w:r w:rsidRPr="00844050">
              <w:rPr>
                <w:rFonts w:ascii="Times New Roman" w:hAnsi="Times New Roman" w:cs="Times New Roman"/>
                <w:color w:val="auto"/>
                <w:sz w:val="24"/>
                <w:szCs w:val="24"/>
              </w:rPr>
              <w:t>Component 2</w:t>
            </w:r>
          </w:p>
          <w:p w:rsidR="00BE084C" w:rsidRPr="00844050" w:rsidRDefault="00BE084C" w:rsidP="00BE084C">
            <w:pPr>
              <w:pStyle w:val="Caption"/>
              <w:keepNext/>
              <w:jc w:val="center"/>
              <w:rPr>
                <w:rFonts w:ascii="Times New Roman" w:hAnsi="Times New Roman" w:cs="Times New Roman"/>
                <w:color w:val="auto"/>
                <w:sz w:val="24"/>
                <w:szCs w:val="24"/>
              </w:rPr>
            </w:pPr>
            <w:r w:rsidRPr="00844050">
              <w:rPr>
                <w:rFonts w:ascii="Times New Roman" w:hAnsi="Times New Roman" w:cs="Times New Roman"/>
                <w:color w:val="auto"/>
                <w:sz w:val="24"/>
                <w:szCs w:val="24"/>
              </w:rPr>
              <w:t>(n = 45)</w:t>
            </w:r>
          </w:p>
          <w:p w:rsidR="00BE084C" w:rsidRPr="00844050" w:rsidRDefault="00BE084C" w:rsidP="00BE084C">
            <w:pPr>
              <w:jc w:val="center"/>
            </w:pPr>
          </w:p>
        </w:tc>
        <w:tc>
          <w:tcPr>
            <w:tcW w:w="3685" w:type="dxa"/>
            <w:tcBorders>
              <w:bottom w:val="single" w:sz="4" w:space="0" w:color="auto"/>
            </w:tcBorders>
          </w:tcPr>
          <w:p w:rsidR="00BE084C" w:rsidRPr="00BE4FE6" w:rsidRDefault="00BE084C" w:rsidP="00BE084C"/>
          <w:p w:rsidR="00BE084C" w:rsidRDefault="00B35B5E" w:rsidP="00BE084C">
            <w:pPr>
              <w:jc w:val="center"/>
              <w:rPr>
                <w:rFonts w:ascii="Times New Roman" w:hAnsi="Times New Roman" w:cs="Times New Roman"/>
                <w:sz w:val="24"/>
                <w:szCs w:val="24"/>
              </w:rPr>
            </w:pPr>
            <w:r>
              <w:rPr>
                <w:noProof/>
                <w:lang w:val="en-US"/>
              </w:rPr>
              <w:drawing>
                <wp:anchor distT="0" distB="0" distL="114300" distR="114300" simplePos="0" relativeHeight="251717120" behindDoc="0" locked="0" layoutInCell="1" allowOverlap="1">
                  <wp:simplePos x="0" y="0"/>
                  <wp:positionH relativeFrom="margin">
                    <wp:posOffset>-67310</wp:posOffset>
                  </wp:positionH>
                  <wp:positionV relativeFrom="margin">
                    <wp:posOffset>348615</wp:posOffset>
                  </wp:positionV>
                  <wp:extent cx="2303145" cy="1295400"/>
                  <wp:effectExtent l="0" t="0" r="1905"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Component 2 Symbology.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03145" cy="1295400"/>
                          </a:xfrm>
                          <a:prstGeom prst="rect">
                            <a:avLst/>
                          </a:prstGeom>
                        </pic:spPr>
                      </pic:pic>
                    </a:graphicData>
                  </a:graphic>
                </wp:anchor>
              </w:drawing>
            </w:r>
          </w:p>
        </w:tc>
        <w:tc>
          <w:tcPr>
            <w:tcW w:w="2977" w:type="dxa"/>
            <w:tcBorders>
              <w:bottom w:val="single" w:sz="4" w:space="0" w:color="auto"/>
            </w:tcBorders>
            <w:vAlign w:val="center"/>
          </w:tcPr>
          <w:p w:rsidR="00BE084C" w:rsidRDefault="00077E53" w:rsidP="00077E53">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1753235" cy="135509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Component 2 Spatial Extent.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53235" cy="1355090"/>
                          </a:xfrm>
                          <a:prstGeom prst="rect">
                            <a:avLst/>
                          </a:prstGeom>
                        </pic:spPr>
                      </pic:pic>
                    </a:graphicData>
                  </a:graphic>
                </wp:inline>
              </w:drawing>
            </w:r>
          </w:p>
        </w:tc>
        <w:tc>
          <w:tcPr>
            <w:tcW w:w="3118" w:type="dxa"/>
            <w:tcBorders>
              <w:bottom w:val="single" w:sz="4" w:space="0" w:color="auto"/>
            </w:tcBorders>
          </w:tcPr>
          <w:tbl>
            <w:tblPr>
              <w:tblW w:w="2760" w:type="dxa"/>
              <w:tblLayout w:type="fixed"/>
              <w:tblCellMar>
                <w:left w:w="0" w:type="dxa"/>
                <w:right w:w="0" w:type="dxa"/>
              </w:tblCellMar>
              <w:tblLook w:val="0600"/>
            </w:tblPr>
            <w:tblGrid>
              <w:gridCol w:w="1280"/>
              <w:gridCol w:w="1480"/>
            </w:tblGrid>
            <w:tr w:rsidR="001B35E1" w:rsidRPr="00BE084C" w:rsidTr="00A3096F">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35E1" w:rsidRPr="00BE084C" w:rsidRDefault="001B35E1" w:rsidP="008353FA">
                  <w:pPr>
                    <w:framePr w:hSpace="180" w:wrap="around" w:vAnchor="text" w:hAnchor="margin" w:xAlign="center" w:y="89"/>
                    <w:spacing w:after="0" w:line="240" w:lineRule="auto"/>
                    <w:jc w:val="center"/>
                    <w:rPr>
                      <w:rFonts w:ascii="Times New Roman" w:hAnsi="Times New Roman" w:cs="Times New Roman"/>
                      <w:sz w:val="24"/>
                      <w:szCs w:val="24"/>
                    </w:rPr>
                  </w:pPr>
                  <w:r w:rsidRPr="00BE084C">
                    <w:rPr>
                      <w:rFonts w:ascii="Times New Roman" w:hAnsi="Times New Roman" w:cs="Times New Roman"/>
                      <w:sz w:val="24"/>
                      <w:szCs w:val="24"/>
                    </w:rPr>
                    <w:t>Node</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35E1" w:rsidRPr="00BE084C" w:rsidRDefault="001B35E1" w:rsidP="008353FA">
                  <w:pPr>
                    <w:framePr w:hSpace="180" w:wrap="around" w:vAnchor="text" w:hAnchor="margin" w:xAlign="center" w:y="89"/>
                    <w:spacing w:after="0" w:line="240" w:lineRule="auto"/>
                    <w:jc w:val="center"/>
                    <w:rPr>
                      <w:rFonts w:ascii="Times New Roman" w:hAnsi="Times New Roman" w:cs="Times New Roman"/>
                      <w:sz w:val="24"/>
                      <w:szCs w:val="24"/>
                    </w:rPr>
                  </w:pPr>
                  <w:proofErr w:type="spellStart"/>
                  <w:r w:rsidRPr="00BE084C">
                    <w:rPr>
                      <w:rFonts w:ascii="Times New Roman" w:hAnsi="Times New Roman" w:cs="Times New Roman"/>
                      <w:sz w:val="24"/>
                      <w:szCs w:val="24"/>
                    </w:rPr>
                    <w:t>Betweenness</w:t>
                  </w:r>
                  <w:proofErr w:type="spellEnd"/>
                </w:p>
              </w:tc>
            </w:tr>
            <w:tr w:rsidR="001B35E1" w:rsidRPr="00BE084C" w:rsidTr="00A3096F">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35E1" w:rsidRPr="00BE084C" w:rsidRDefault="00464FBB"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35E1" w:rsidRPr="00BE084C" w:rsidRDefault="00464FBB"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0.618393</w:t>
                  </w:r>
                </w:p>
              </w:tc>
            </w:tr>
            <w:tr w:rsidR="001B35E1" w:rsidRPr="00BE084C" w:rsidTr="00A3096F">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35E1" w:rsidRPr="00BE084C" w:rsidRDefault="00464FBB"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35E1" w:rsidRPr="00BE084C" w:rsidRDefault="00464FBB"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0.544397</w:t>
                  </w:r>
                </w:p>
              </w:tc>
            </w:tr>
            <w:tr w:rsidR="001B35E1" w:rsidRPr="00BE084C" w:rsidTr="00A3096F">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35E1" w:rsidRPr="00BE084C" w:rsidRDefault="00464FBB"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35E1" w:rsidRPr="00BE084C" w:rsidRDefault="00464FBB"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0.531712</w:t>
                  </w:r>
                </w:p>
              </w:tc>
            </w:tr>
            <w:tr w:rsidR="001B35E1" w:rsidRPr="00BE084C" w:rsidTr="00A3096F">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35E1" w:rsidRPr="00BE084C" w:rsidRDefault="00464FBB"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35E1" w:rsidRPr="00BE084C" w:rsidRDefault="00464FBB"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0.502114</w:t>
                  </w:r>
                </w:p>
              </w:tc>
            </w:tr>
            <w:tr w:rsidR="001B35E1" w:rsidRPr="00BE084C" w:rsidTr="00A3096F">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35E1" w:rsidRPr="00BE084C" w:rsidRDefault="00464FBB"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35E1" w:rsidRPr="00BE084C" w:rsidRDefault="00464FBB"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0.502114</w:t>
                  </w:r>
                </w:p>
              </w:tc>
            </w:tr>
            <w:tr w:rsidR="001B35E1" w:rsidRPr="00BE084C" w:rsidTr="00A3096F">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35E1" w:rsidRPr="00BE084C" w:rsidRDefault="00464FBB"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35E1" w:rsidRPr="00BE084C" w:rsidRDefault="00464FBB"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0.491543</w:t>
                  </w:r>
                </w:p>
              </w:tc>
            </w:tr>
            <w:tr w:rsidR="001B35E1" w:rsidRPr="00BE084C" w:rsidTr="00A3096F">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35E1" w:rsidRPr="00BE084C" w:rsidRDefault="00464FBB"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35E1" w:rsidRPr="00BE084C" w:rsidRDefault="00295AA9"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0.459831</w:t>
                  </w:r>
                </w:p>
              </w:tc>
            </w:tr>
            <w:tr w:rsidR="001B35E1" w:rsidRPr="00BE084C" w:rsidTr="00A3096F">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35E1" w:rsidRPr="00BE084C" w:rsidRDefault="00295AA9"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35E1" w:rsidRPr="00BE084C" w:rsidRDefault="00295AA9"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0.332981</w:t>
                  </w:r>
                </w:p>
              </w:tc>
            </w:tr>
            <w:tr w:rsidR="001B35E1" w:rsidRPr="00BE084C" w:rsidTr="00A3096F">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35E1" w:rsidRPr="00BE084C" w:rsidRDefault="00295AA9"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109</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35E1" w:rsidRPr="00BE084C" w:rsidRDefault="00295AA9"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0.30444</w:t>
                  </w:r>
                </w:p>
              </w:tc>
            </w:tr>
            <w:tr w:rsidR="001B35E1" w:rsidRPr="00BE084C" w:rsidTr="00A3096F">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35E1" w:rsidRPr="00BE084C" w:rsidRDefault="00295AA9"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119</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35E1" w:rsidRPr="00BE084C" w:rsidRDefault="00295AA9"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0.285412</w:t>
                  </w:r>
                </w:p>
              </w:tc>
            </w:tr>
          </w:tbl>
          <w:p w:rsidR="00BE084C" w:rsidRDefault="00BE084C" w:rsidP="00BE084C">
            <w:pPr>
              <w:jc w:val="center"/>
              <w:rPr>
                <w:rFonts w:ascii="Times New Roman" w:hAnsi="Times New Roman" w:cs="Times New Roman"/>
                <w:sz w:val="24"/>
                <w:szCs w:val="24"/>
              </w:rPr>
            </w:pPr>
          </w:p>
        </w:tc>
      </w:tr>
      <w:tr w:rsidR="0090151A" w:rsidTr="0090151A">
        <w:trPr>
          <w:jc w:val="center"/>
        </w:trPr>
        <w:tc>
          <w:tcPr>
            <w:tcW w:w="1555" w:type="dxa"/>
            <w:tcBorders>
              <w:top w:val="single" w:sz="4" w:space="0" w:color="auto"/>
              <w:left w:val="nil"/>
              <w:bottom w:val="nil"/>
              <w:right w:val="nil"/>
            </w:tcBorders>
            <w:vAlign w:val="center"/>
          </w:tcPr>
          <w:p w:rsidR="0090151A" w:rsidRPr="00844050" w:rsidRDefault="0090151A" w:rsidP="00BE084C">
            <w:pPr>
              <w:pStyle w:val="Caption"/>
              <w:keepNext/>
              <w:jc w:val="center"/>
              <w:rPr>
                <w:rFonts w:ascii="Times New Roman" w:hAnsi="Times New Roman" w:cs="Times New Roman"/>
                <w:color w:val="auto"/>
                <w:sz w:val="24"/>
                <w:szCs w:val="24"/>
              </w:rPr>
            </w:pPr>
          </w:p>
        </w:tc>
        <w:tc>
          <w:tcPr>
            <w:tcW w:w="3685" w:type="dxa"/>
            <w:tcBorders>
              <w:top w:val="single" w:sz="4" w:space="0" w:color="auto"/>
              <w:left w:val="nil"/>
              <w:bottom w:val="nil"/>
              <w:right w:val="nil"/>
            </w:tcBorders>
          </w:tcPr>
          <w:p w:rsidR="0090151A" w:rsidRPr="00BE4FE6" w:rsidRDefault="0090151A" w:rsidP="00BE084C"/>
        </w:tc>
        <w:tc>
          <w:tcPr>
            <w:tcW w:w="2977" w:type="dxa"/>
            <w:tcBorders>
              <w:top w:val="single" w:sz="4" w:space="0" w:color="auto"/>
              <w:left w:val="nil"/>
              <w:bottom w:val="nil"/>
              <w:right w:val="nil"/>
            </w:tcBorders>
          </w:tcPr>
          <w:p w:rsidR="0090151A" w:rsidRDefault="0090151A" w:rsidP="00BE084C">
            <w:pPr>
              <w:jc w:val="center"/>
              <w:rPr>
                <w:rFonts w:ascii="Times New Roman" w:hAnsi="Times New Roman" w:cs="Times New Roman"/>
                <w:noProof/>
                <w:sz w:val="24"/>
                <w:szCs w:val="24"/>
                <w:lang w:eastAsia="en-CA"/>
              </w:rPr>
            </w:pPr>
          </w:p>
        </w:tc>
        <w:tc>
          <w:tcPr>
            <w:tcW w:w="3118" w:type="dxa"/>
            <w:tcBorders>
              <w:top w:val="single" w:sz="4" w:space="0" w:color="auto"/>
              <w:left w:val="nil"/>
              <w:bottom w:val="nil"/>
              <w:right w:val="nil"/>
            </w:tcBorders>
          </w:tcPr>
          <w:p w:rsidR="0090151A" w:rsidRPr="00BE084C" w:rsidRDefault="0090151A" w:rsidP="001B35E1">
            <w:pPr>
              <w:jc w:val="center"/>
              <w:rPr>
                <w:rFonts w:ascii="Times New Roman" w:hAnsi="Times New Roman" w:cs="Times New Roman"/>
                <w:sz w:val="24"/>
                <w:szCs w:val="24"/>
              </w:rPr>
            </w:pPr>
          </w:p>
        </w:tc>
      </w:tr>
      <w:tr w:rsidR="0090151A" w:rsidTr="0090151A">
        <w:trPr>
          <w:jc w:val="center"/>
        </w:trPr>
        <w:tc>
          <w:tcPr>
            <w:tcW w:w="1555" w:type="dxa"/>
            <w:tcBorders>
              <w:top w:val="nil"/>
              <w:left w:val="nil"/>
              <w:bottom w:val="nil"/>
              <w:right w:val="nil"/>
            </w:tcBorders>
            <w:vAlign w:val="center"/>
          </w:tcPr>
          <w:p w:rsidR="0090151A" w:rsidRPr="00844050" w:rsidRDefault="0090151A" w:rsidP="00BE084C">
            <w:pPr>
              <w:pStyle w:val="Caption"/>
              <w:keepNext/>
              <w:jc w:val="center"/>
              <w:rPr>
                <w:rFonts w:ascii="Times New Roman" w:hAnsi="Times New Roman" w:cs="Times New Roman"/>
                <w:color w:val="auto"/>
                <w:sz w:val="24"/>
                <w:szCs w:val="24"/>
              </w:rPr>
            </w:pPr>
          </w:p>
        </w:tc>
        <w:tc>
          <w:tcPr>
            <w:tcW w:w="3685" w:type="dxa"/>
            <w:tcBorders>
              <w:top w:val="nil"/>
              <w:left w:val="nil"/>
              <w:bottom w:val="nil"/>
              <w:right w:val="nil"/>
            </w:tcBorders>
          </w:tcPr>
          <w:p w:rsidR="0090151A" w:rsidRPr="00BE4FE6" w:rsidRDefault="0090151A" w:rsidP="00BE084C"/>
        </w:tc>
        <w:tc>
          <w:tcPr>
            <w:tcW w:w="2977" w:type="dxa"/>
            <w:tcBorders>
              <w:top w:val="nil"/>
              <w:left w:val="nil"/>
              <w:bottom w:val="nil"/>
              <w:right w:val="nil"/>
            </w:tcBorders>
          </w:tcPr>
          <w:p w:rsidR="0090151A" w:rsidRDefault="0090151A" w:rsidP="00BE084C">
            <w:pPr>
              <w:jc w:val="center"/>
              <w:rPr>
                <w:rFonts w:ascii="Times New Roman" w:hAnsi="Times New Roman" w:cs="Times New Roman"/>
                <w:noProof/>
                <w:sz w:val="24"/>
                <w:szCs w:val="24"/>
                <w:lang w:eastAsia="en-CA"/>
              </w:rPr>
            </w:pPr>
          </w:p>
        </w:tc>
        <w:tc>
          <w:tcPr>
            <w:tcW w:w="3118" w:type="dxa"/>
            <w:tcBorders>
              <w:top w:val="nil"/>
              <w:left w:val="nil"/>
              <w:bottom w:val="nil"/>
              <w:right w:val="nil"/>
            </w:tcBorders>
          </w:tcPr>
          <w:p w:rsidR="0090151A" w:rsidRPr="00BE084C" w:rsidRDefault="0090151A" w:rsidP="001B35E1">
            <w:pPr>
              <w:jc w:val="center"/>
              <w:rPr>
                <w:rFonts w:ascii="Times New Roman" w:hAnsi="Times New Roman" w:cs="Times New Roman"/>
                <w:sz w:val="24"/>
                <w:szCs w:val="24"/>
              </w:rPr>
            </w:pPr>
          </w:p>
        </w:tc>
      </w:tr>
      <w:tr w:rsidR="00EC4CC1" w:rsidTr="008353FA">
        <w:trPr>
          <w:jc w:val="center"/>
        </w:trPr>
        <w:tc>
          <w:tcPr>
            <w:tcW w:w="1555" w:type="dxa"/>
            <w:tcBorders>
              <w:top w:val="single" w:sz="4" w:space="0" w:color="auto"/>
            </w:tcBorders>
            <w:vAlign w:val="center"/>
          </w:tcPr>
          <w:p w:rsidR="00BE084C" w:rsidRPr="00844050" w:rsidRDefault="00BE084C" w:rsidP="00BE084C">
            <w:pPr>
              <w:pStyle w:val="Caption"/>
              <w:keepNext/>
              <w:jc w:val="center"/>
              <w:rPr>
                <w:rFonts w:ascii="Times New Roman" w:hAnsi="Times New Roman" w:cs="Times New Roman"/>
                <w:color w:val="auto"/>
                <w:sz w:val="24"/>
                <w:szCs w:val="24"/>
              </w:rPr>
            </w:pPr>
            <w:r w:rsidRPr="00844050">
              <w:rPr>
                <w:rFonts w:ascii="Times New Roman" w:hAnsi="Times New Roman" w:cs="Times New Roman"/>
                <w:color w:val="auto"/>
                <w:sz w:val="24"/>
                <w:szCs w:val="24"/>
              </w:rPr>
              <w:lastRenderedPageBreak/>
              <w:t>(C)</w:t>
            </w:r>
          </w:p>
          <w:p w:rsidR="00BE084C" w:rsidRPr="00844050" w:rsidRDefault="00BE084C" w:rsidP="00BE084C">
            <w:pPr>
              <w:jc w:val="center"/>
              <w:rPr>
                <w:rFonts w:ascii="Times New Roman" w:hAnsi="Times New Roman" w:cs="Times New Roman"/>
                <w:b/>
                <w:sz w:val="24"/>
                <w:szCs w:val="24"/>
              </w:rPr>
            </w:pPr>
            <w:r w:rsidRPr="00844050">
              <w:rPr>
                <w:rFonts w:ascii="Times New Roman" w:hAnsi="Times New Roman" w:cs="Times New Roman"/>
                <w:b/>
                <w:sz w:val="24"/>
                <w:szCs w:val="24"/>
              </w:rPr>
              <w:t>Component 3</w:t>
            </w:r>
          </w:p>
          <w:p w:rsidR="00BE084C" w:rsidRPr="00844050" w:rsidRDefault="00BE084C" w:rsidP="00BE084C">
            <w:pPr>
              <w:jc w:val="center"/>
              <w:rPr>
                <w:rFonts w:ascii="Times New Roman" w:hAnsi="Times New Roman" w:cs="Times New Roman"/>
                <w:b/>
                <w:sz w:val="24"/>
                <w:szCs w:val="24"/>
              </w:rPr>
            </w:pPr>
            <w:r w:rsidRPr="00844050">
              <w:rPr>
                <w:rFonts w:ascii="Times New Roman" w:hAnsi="Times New Roman" w:cs="Times New Roman"/>
                <w:b/>
                <w:sz w:val="24"/>
                <w:szCs w:val="24"/>
              </w:rPr>
              <w:t>(n = 36)</w:t>
            </w:r>
          </w:p>
        </w:tc>
        <w:tc>
          <w:tcPr>
            <w:tcW w:w="3685" w:type="dxa"/>
            <w:tcBorders>
              <w:top w:val="single" w:sz="4" w:space="0" w:color="auto"/>
            </w:tcBorders>
          </w:tcPr>
          <w:p w:rsidR="00BE084C" w:rsidRPr="00BE4FE6" w:rsidRDefault="00BE084C" w:rsidP="00BE084C"/>
          <w:p w:rsidR="00BE084C" w:rsidRPr="00433E0A" w:rsidRDefault="0090151A" w:rsidP="00BE084C">
            <w:pPr>
              <w:pStyle w:val="Caption"/>
              <w:keepNext/>
              <w:ind w:left="360"/>
              <w:jc w:val="center"/>
              <w:rPr>
                <w:color w:val="auto"/>
              </w:rPr>
            </w:pPr>
            <w:r>
              <w:rPr>
                <w:noProof/>
                <w:lang w:val="en-US"/>
              </w:rPr>
              <w:drawing>
                <wp:anchor distT="0" distB="0" distL="114300" distR="114300" simplePos="0" relativeHeight="251718144" behindDoc="0" locked="0" layoutInCell="1" allowOverlap="1">
                  <wp:simplePos x="0" y="0"/>
                  <wp:positionH relativeFrom="margin">
                    <wp:posOffset>-67310</wp:posOffset>
                  </wp:positionH>
                  <wp:positionV relativeFrom="margin">
                    <wp:posOffset>441325</wp:posOffset>
                  </wp:positionV>
                  <wp:extent cx="2266950" cy="1274445"/>
                  <wp:effectExtent l="0" t="0" r="0" b="1905"/>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Component 3 Symbology.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66950" cy="1274445"/>
                          </a:xfrm>
                          <a:prstGeom prst="rect">
                            <a:avLst/>
                          </a:prstGeom>
                        </pic:spPr>
                      </pic:pic>
                    </a:graphicData>
                  </a:graphic>
                </wp:anchor>
              </w:drawing>
            </w:r>
          </w:p>
        </w:tc>
        <w:tc>
          <w:tcPr>
            <w:tcW w:w="2977" w:type="dxa"/>
            <w:tcBorders>
              <w:top w:val="single" w:sz="4" w:space="0" w:color="auto"/>
            </w:tcBorders>
            <w:vAlign w:val="center"/>
          </w:tcPr>
          <w:p w:rsidR="00BE084C" w:rsidRDefault="00077E53" w:rsidP="008353FA">
            <w:pPr>
              <w:jc w:val="right"/>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1762271" cy="1362075"/>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Component 3 Spatial Extent.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5581" cy="1364633"/>
                          </a:xfrm>
                          <a:prstGeom prst="rect">
                            <a:avLst/>
                          </a:prstGeom>
                        </pic:spPr>
                      </pic:pic>
                    </a:graphicData>
                  </a:graphic>
                </wp:inline>
              </w:drawing>
            </w:r>
          </w:p>
        </w:tc>
        <w:tc>
          <w:tcPr>
            <w:tcW w:w="3118" w:type="dxa"/>
            <w:tcBorders>
              <w:top w:val="single" w:sz="4" w:space="0" w:color="auto"/>
            </w:tcBorders>
          </w:tcPr>
          <w:tbl>
            <w:tblPr>
              <w:tblW w:w="2760" w:type="dxa"/>
              <w:tblLayout w:type="fixed"/>
              <w:tblCellMar>
                <w:left w:w="0" w:type="dxa"/>
                <w:right w:w="0" w:type="dxa"/>
              </w:tblCellMar>
              <w:tblLook w:val="0600"/>
            </w:tblPr>
            <w:tblGrid>
              <w:gridCol w:w="1280"/>
              <w:gridCol w:w="1480"/>
            </w:tblGrid>
            <w:tr w:rsidR="001B35E1" w:rsidRPr="00BE084C" w:rsidTr="00A3096F">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35E1" w:rsidRPr="00BE084C" w:rsidRDefault="001B35E1" w:rsidP="008353FA">
                  <w:pPr>
                    <w:framePr w:hSpace="180" w:wrap="around" w:vAnchor="text" w:hAnchor="margin" w:xAlign="center" w:y="89"/>
                    <w:spacing w:after="0" w:line="240" w:lineRule="auto"/>
                    <w:jc w:val="center"/>
                    <w:rPr>
                      <w:rFonts w:ascii="Times New Roman" w:hAnsi="Times New Roman" w:cs="Times New Roman"/>
                      <w:sz w:val="24"/>
                      <w:szCs w:val="24"/>
                    </w:rPr>
                  </w:pPr>
                  <w:r w:rsidRPr="00BE084C">
                    <w:rPr>
                      <w:rFonts w:ascii="Times New Roman" w:hAnsi="Times New Roman" w:cs="Times New Roman"/>
                      <w:sz w:val="24"/>
                      <w:szCs w:val="24"/>
                    </w:rPr>
                    <w:t>Node</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35E1" w:rsidRPr="00BE084C" w:rsidRDefault="001B35E1" w:rsidP="008353FA">
                  <w:pPr>
                    <w:framePr w:hSpace="180" w:wrap="around" w:vAnchor="text" w:hAnchor="margin" w:xAlign="center" w:y="89"/>
                    <w:spacing w:after="0" w:line="240" w:lineRule="auto"/>
                    <w:jc w:val="center"/>
                    <w:rPr>
                      <w:rFonts w:ascii="Times New Roman" w:hAnsi="Times New Roman" w:cs="Times New Roman"/>
                      <w:sz w:val="24"/>
                      <w:szCs w:val="24"/>
                    </w:rPr>
                  </w:pPr>
                  <w:proofErr w:type="spellStart"/>
                  <w:r w:rsidRPr="00BE084C">
                    <w:rPr>
                      <w:rFonts w:ascii="Times New Roman" w:hAnsi="Times New Roman" w:cs="Times New Roman"/>
                      <w:sz w:val="24"/>
                      <w:szCs w:val="24"/>
                    </w:rPr>
                    <w:t>Betweenness</w:t>
                  </w:r>
                  <w:proofErr w:type="spellEnd"/>
                </w:p>
              </w:tc>
            </w:tr>
            <w:tr w:rsidR="001B35E1" w:rsidRPr="00BE084C" w:rsidTr="00A3096F">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35E1" w:rsidRPr="00BE084C" w:rsidRDefault="00464FBB"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35E1" w:rsidRPr="00BE084C" w:rsidRDefault="00464FBB"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0.695798</w:t>
                  </w:r>
                </w:p>
              </w:tc>
            </w:tr>
            <w:tr w:rsidR="001B35E1" w:rsidRPr="00BE084C" w:rsidTr="00A3096F">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35E1" w:rsidRPr="00BE084C" w:rsidRDefault="00464FBB"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35E1" w:rsidRPr="00BE084C" w:rsidRDefault="00464FBB"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0.583193</w:t>
                  </w:r>
                </w:p>
              </w:tc>
            </w:tr>
            <w:tr w:rsidR="001B35E1" w:rsidRPr="00BE084C" w:rsidTr="00A3096F">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35E1" w:rsidRPr="00BE084C" w:rsidRDefault="00464FBB"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35E1" w:rsidRPr="00BE084C" w:rsidRDefault="00464FBB"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0.426891</w:t>
                  </w:r>
                </w:p>
              </w:tc>
            </w:tr>
            <w:tr w:rsidR="001B35E1" w:rsidRPr="00BE084C" w:rsidTr="00A3096F">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35E1" w:rsidRPr="00BE084C" w:rsidRDefault="00234DA9"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R5</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35E1" w:rsidRPr="00BE084C" w:rsidRDefault="00A5598C"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0.420168</w:t>
                  </w:r>
                </w:p>
              </w:tc>
            </w:tr>
            <w:tr w:rsidR="001B35E1" w:rsidRPr="00BE084C" w:rsidTr="00A3096F">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35E1" w:rsidRPr="00BE084C" w:rsidRDefault="00A5598C"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269</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35E1" w:rsidRPr="00BE084C" w:rsidRDefault="00464FBB"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0.39</w:t>
                  </w:r>
                  <w:r w:rsidR="00234DA9">
                    <w:rPr>
                      <w:rFonts w:ascii="Times New Roman" w:hAnsi="Times New Roman" w:cs="Times New Roman"/>
                      <w:sz w:val="24"/>
                      <w:szCs w:val="24"/>
                    </w:rPr>
                    <w:t>3277</w:t>
                  </w:r>
                </w:p>
              </w:tc>
            </w:tr>
            <w:tr w:rsidR="001B35E1" w:rsidRPr="00BE084C" w:rsidTr="00A3096F">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35E1" w:rsidRPr="00BE084C" w:rsidRDefault="00234DA9"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35E1" w:rsidRPr="00BE084C" w:rsidRDefault="00464FBB"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234DA9">
                    <w:rPr>
                      <w:rFonts w:ascii="Times New Roman" w:hAnsi="Times New Roman" w:cs="Times New Roman"/>
                      <w:sz w:val="24"/>
                      <w:szCs w:val="24"/>
                    </w:rPr>
                    <w:t>391597</w:t>
                  </w:r>
                </w:p>
              </w:tc>
            </w:tr>
            <w:tr w:rsidR="001B35E1" w:rsidRPr="00BE084C" w:rsidTr="00A3096F">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35E1" w:rsidRPr="00BE084C" w:rsidRDefault="00234DA9"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35E1" w:rsidRPr="00BE084C" w:rsidRDefault="00464FBB"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234DA9">
                    <w:rPr>
                      <w:rFonts w:ascii="Times New Roman" w:hAnsi="Times New Roman" w:cs="Times New Roman"/>
                      <w:sz w:val="24"/>
                      <w:szCs w:val="24"/>
                    </w:rPr>
                    <w:t>258824</w:t>
                  </w:r>
                </w:p>
              </w:tc>
            </w:tr>
            <w:tr w:rsidR="001B35E1" w:rsidRPr="00BE084C" w:rsidTr="00A3096F">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35E1" w:rsidRPr="00BE084C" w:rsidRDefault="00234DA9"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35E1" w:rsidRPr="00BE084C" w:rsidRDefault="00464FBB"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234DA9">
                    <w:rPr>
                      <w:rFonts w:ascii="Times New Roman" w:hAnsi="Times New Roman" w:cs="Times New Roman"/>
                      <w:sz w:val="24"/>
                      <w:szCs w:val="24"/>
                    </w:rPr>
                    <w:t>216807</w:t>
                  </w:r>
                </w:p>
              </w:tc>
            </w:tr>
            <w:tr w:rsidR="001B35E1" w:rsidRPr="00BE084C" w:rsidTr="00A3096F">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35E1" w:rsidRPr="00BE084C" w:rsidRDefault="00234DA9"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162</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35E1" w:rsidRPr="00BE084C" w:rsidRDefault="00464FBB"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234DA9">
                    <w:rPr>
                      <w:rFonts w:ascii="Times New Roman" w:hAnsi="Times New Roman" w:cs="Times New Roman"/>
                      <w:sz w:val="24"/>
                      <w:szCs w:val="24"/>
                    </w:rPr>
                    <w:t>213445</w:t>
                  </w:r>
                </w:p>
              </w:tc>
            </w:tr>
            <w:tr w:rsidR="001B35E1" w:rsidRPr="00BE084C" w:rsidTr="00A3096F">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35E1" w:rsidRPr="00BE084C" w:rsidRDefault="00234DA9"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35E1" w:rsidRPr="00BE084C" w:rsidRDefault="00234DA9"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0.164706</w:t>
                  </w:r>
                </w:p>
              </w:tc>
            </w:tr>
          </w:tbl>
          <w:p w:rsidR="00BE084C" w:rsidRDefault="00BE084C" w:rsidP="00BE084C">
            <w:pPr>
              <w:jc w:val="center"/>
              <w:rPr>
                <w:rFonts w:ascii="Times New Roman" w:hAnsi="Times New Roman" w:cs="Times New Roman"/>
                <w:sz w:val="24"/>
                <w:szCs w:val="24"/>
              </w:rPr>
            </w:pPr>
          </w:p>
        </w:tc>
      </w:tr>
      <w:tr w:rsidR="00BE084C" w:rsidTr="00077E53">
        <w:trPr>
          <w:jc w:val="center"/>
        </w:trPr>
        <w:tc>
          <w:tcPr>
            <w:tcW w:w="1555" w:type="dxa"/>
            <w:vAlign w:val="center"/>
          </w:tcPr>
          <w:p w:rsidR="00BE084C" w:rsidRPr="00844050" w:rsidRDefault="00BE084C" w:rsidP="00BE084C">
            <w:pPr>
              <w:pStyle w:val="Caption"/>
              <w:keepNext/>
              <w:jc w:val="center"/>
              <w:rPr>
                <w:rFonts w:ascii="Times New Roman" w:hAnsi="Times New Roman" w:cs="Times New Roman"/>
                <w:noProof/>
                <w:color w:val="auto"/>
                <w:sz w:val="24"/>
                <w:szCs w:val="24"/>
                <w:lang w:eastAsia="en-CA"/>
              </w:rPr>
            </w:pPr>
            <w:r w:rsidRPr="00844050">
              <w:rPr>
                <w:rFonts w:ascii="Times New Roman" w:hAnsi="Times New Roman" w:cs="Times New Roman"/>
                <w:noProof/>
                <w:color w:val="auto"/>
                <w:sz w:val="24"/>
                <w:szCs w:val="24"/>
                <w:lang w:eastAsia="en-CA"/>
              </w:rPr>
              <w:t>(D)</w:t>
            </w:r>
          </w:p>
          <w:p w:rsidR="00BE084C" w:rsidRPr="00844050" w:rsidRDefault="00BE084C" w:rsidP="00BE084C">
            <w:pPr>
              <w:jc w:val="center"/>
              <w:rPr>
                <w:rFonts w:ascii="Times New Roman" w:hAnsi="Times New Roman" w:cs="Times New Roman"/>
                <w:b/>
                <w:sz w:val="24"/>
                <w:szCs w:val="24"/>
                <w:lang w:eastAsia="en-CA"/>
              </w:rPr>
            </w:pPr>
            <w:r w:rsidRPr="00844050">
              <w:rPr>
                <w:rFonts w:ascii="Times New Roman" w:hAnsi="Times New Roman" w:cs="Times New Roman"/>
                <w:b/>
                <w:sz w:val="24"/>
                <w:szCs w:val="24"/>
                <w:lang w:eastAsia="en-CA"/>
              </w:rPr>
              <w:t>Component 7</w:t>
            </w:r>
          </w:p>
          <w:p w:rsidR="00BE084C" w:rsidRPr="00844050" w:rsidRDefault="00BE084C" w:rsidP="00BE084C">
            <w:pPr>
              <w:jc w:val="center"/>
              <w:rPr>
                <w:rFonts w:ascii="Times New Roman" w:hAnsi="Times New Roman" w:cs="Times New Roman"/>
                <w:b/>
                <w:sz w:val="24"/>
                <w:szCs w:val="24"/>
                <w:lang w:eastAsia="en-CA"/>
              </w:rPr>
            </w:pPr>
            <w:r w:rsidRPr="00844050">
              <w:rPr>
                <w:rFonts w:ascii="Times New Roman" w:hAnsi="Times New Roman" w:cs="Times New Roman"/>
                <w:b/>
                <w:sz w:val="24"/>
                <w:szCs w:val="24"/>
                <w:lang w:eastAsia="en-CA"/>
              </w:rPr>
              <w:t>(n = 21)</w:t>
            </w:r>
          </w:p>
        </w:tc>
        <w:tc>
          <w:tcPr>
            <w:tcW w:w="3685" w:type="dxa"/>
          </w:tcPr>
          <w:p w:rsidR="00BE084C" w:rsidRPr="00433E0A" w:rsidRDefault="00BE084C" w:rsidP="00BE084C">
            <w:pPr>
              <w:pStyle w:val="Caption"/>
              <w:keepNext/>
              <w:rPr>
                <w:color w:val="auto"/>
              </w:rPr>
            </w:pPr>
          </w:p>
          <w:p w:rsidR="00BE084C" w:rsidRPr="00433E0A" w:rsidRDefault="00B35B5E" w:rsidP="00BE084C">
            <w:pPr>
              <w:pStyle w:val="Caption"/>
              <w:keepNext/>
              <w:ind w:left="720"/>
              <w:rPr>
                <w:color w:val="auto"/>
              </w:rPr>
            </w:pPr>
            <w:r>
              <w:rPr>
                <w:noProof/>
                <w:color w:val="auto"/>
                <w:lang w:val="en-US"/>
              </w:rPr>
              <w:drawing>
                <wp:anchor distT="0" distB="0" distL="114300" distR="114300" simplePos="0" relativeHeight="251719168" behindDoc="0" locked="0" layoutInCell="1" allowOverlap="1">
                  <wp:simplePos x="0" y="0"/>
                  <wp:positionH relativeFrom="margin">
                    <wp:posOffset>-635</wp:posOffset>
                  </wp:positionH>
                  <wp:positionV relativeFrom="margin">
                    <wp:posOffset>447675</wp:posOffset>
                  </wp:positionV>
                  <wp:extent cx="2202815" cy="1238885"/>
                  <wp:effectExtent l="0" t="0" r="6985"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omponent 7 Symbology.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02815" cy="1238885"/>
                          </a:xfrm>
                          <a:prstGeom prst="rect">
                            <a:avLst/>
                          </a:prstGeom>
                        </pic:spPr>
                      </pic:pic>
                    </a:graphicData>
                  </a:graphic>
                </wp:anchor>
              </w:drawing>
            </w:r>
          </w:p>
        </w:tc>
        <w:tc>
          <w:tcPr>
            <w:tcW w:w="2977" w:type="dxa"/>
            <w:vAlign w:val="center"/>
          </w:tcPr>
          <w:p w:rsidR="00BE084C" w:rsidRDefault="00077E53" w:rsidP="00077E53">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1753235" cy="135509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mponent 7 Spatial Extent.jp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53235" cy="1355090"/>
                          </a:xfrm>
                          <a:prstGeom prst="rect">
                            <a:avLst/>
                          </a:prstGeom>
                        </pic:spPr>
                      </pic:pic>
                    </a:graphicData>
                  </a:graphic>
                </wp:inline>
              </w:drawing>
            </w:r>
          </w:p>
        </w:tc>
        <w:tc>
          <w:tcPr>
            <w:tcW w:w="3118" w:type="dxa"/>
          </w:tcPr>
          <w:tbl>
            <w:tblPr>
              <w:tblW w:w="2760" w:type="dxa"/>
              <w:tblLayout w:type="fixed"/>
              <w:tblCellMar>
                <w:left w:w="0" w:type="dxa"/>
                <w:right w:w="0" w:type="dxa"/>
              </w:tblCellMar>
              <w:tblLook w:val="0600"/>
            </w:tblPr>
            <w:tblGrid>
              <w:gridCol w:w="1280"/>
              <w:gridCol w:w="1480"/>
            </w:tblGrid>
            <w:tr w:rsidR="00A9383A" w:rsidRPr="00BE084C" w:rsidTr="00A3096F">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383A" w:rsidRPr="00BE084C" w:rsidRDefault="00A9383A" w:rsidP="008353FA">
                  <w:pPr>
                    <w:framePr w:hSpace="180" w:wrap="around" w:vAnchor="text" w:hAnchor="margin" w:xAlign="center" w:y="89"/>
                    <w:spacing w:after="0" w:line="240" w:lineRule="auto"/>
                    <w:jc w:val="center"/>
                    <w:rPr>
                      <w:rFonts w:ascii="Times New Roman" w:hAnsi="Times New Roman" w:cs="Times New Roman"/>
                      <w:sz w:val="24"/>
                      <w:szCs w:val="24"/>
                    </w:rPr>
                  </w:pPr>
                  <w:r w:rsidRPr="00BE084C">
                    <w:rPr>
                      <w:rFonts w:ascii="Times New Roman" w:hAnsi="Times New Roman" w:cs="Times New Roman"/>
                      <w:sz w:val="24"/>
                      <w:szCs w:val="24"/>
                    </w:rPr>
                    <w:t>Node</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383A" w:rsidRPr="00BE084C" w:rsidRDefault="00A9383A" w:rsidP="008353FA">
                  <w:pPr>
                    <w:framePr w:hSpace="180" w:wrap="around" w:vAnchor="text" w:hAnchor="margin" w:xAlign="center" w:y="89"/>
                    <w:spacing w:after="0" w:line="240" w:lineRule="auto"/>
                    <w:jc w:val="center"/>
                    <w:rPr>
                      <w:rFonts w:ascii="Times New Roman" w:hAnsi="Times New Roman" w:cs="Times New Roman"/>
                      <w:sz w:val="24"/>
                      <w:szCs w:val="24"/>
                    </w:rPr>
                  </w:pPr>
                  <w:proofErr w:type="spellStart"/>
                  <w:r w:rsidRPr="00BE084C">
                    <w:rPr>
                      <w:rFonts w:ascii="Times New Roman" w:hAnsi="Times New Roman" w:cs="Times New Roman"/>
                      <w:sz w:val="24"/>
                      <w:szCs w:val="24"/>
                    </w:rPr>
                    <w:t>Betweenness</w:t>
                  </w:r>
                  <w:proofErr w:type="spellEnd"/>
                </w:p>
              </w:tc>
            </w:tr>
            <w:tr w:rsidR="00A9383A" w:rsidRPr="00BE084C" w:rsidTr="00A3096F">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383A" w:rsidRPr="00BE084C" w:rsidRDefault="00464FBB"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395</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383A" w:rsidRPr="00BE084C" w:rsidRDefault="00464FBB"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0.65789474</w:t>
                  </w:r>
                </w:p>
              </w:tc>
            </w:tr>
            <w:tr w:rsidR="00A9383A" w:rsidRPr="00BE084C" w:rsidTr="00A3096F">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383A" w:rsidRPr="00BE084C" w:rsidRDefault="00464FBB"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271</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383A" w:rsidRPr="00BE084C" w:rsidRDefault="00464FBB"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0.56315790</w:t>
                  </w:r>
                </w:p>
              </w:tc>
            </w:tr>
            <w:tr w:rsidR="00A9383A" w:rsidRPr="00BE084C" w:rsidTr="00A3096F">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383A" w:rsidRPr="00BE084C" w:rsidRDefault="00464FBB"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330</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383A" w:rsidRPr="00BE084C" w:rsidRDefault="00464FBB"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0.52631579</w:t>
                  </w:r>
                </w:p>
              </w:tc>
            </w:tr>
            <w:tr w:rsidR="00A9383A" w:rsidRPr="00BE084C" w:rsidTr="00A3096F">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383A" w:rsidRPr="00BE084C" w:rsidRDefault="00464FBB"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197</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383A" w:rsidRPr="00BE084C" w:rsidRDefault="00464FBB"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0.51052632</w:t>
                  </w:r>
                </w:p>
              </w:tc>
            </w:tr>
            <w:tr w:rsidR="00A9383A" w:rsidRPr="00BE084C" w:rsidTr="00A3096F">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383A" w:rsidRPr="00BE084C" w:rsidRDefault="00464FBB"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138</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383A" w:rsidRPr="00BE084C" w:rsidRDefault="00464FBB"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0.41578947</w:t>
                  </w:r>
                </w:p>
              </w:tc>
            </w:tr>
            <w:tr w:rsidR="00A9383A" w:rsidRPr="00BE084C" w:rsidTr="00A3096F">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383A" w:rsidRPr="00BE084C" w:rsidRDefault="00464FBB"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507</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383A" w:rsidRPr="00BE084C" w:rsidRDefault="00464FBB"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0.284211</w:t>
                  </w:r>
                </w:p>
              </w:tc>
            </w:tr>
            <w:tr w:rsidR="00A9383A" w:rsidRPr="00BE084C" w:rsidTr="00A3096F">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383A" w:rsidRPr="00BE084C" w:rsidRDefault="00464FBB"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198</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383A" w:rsidRPr="00BE084C" w:rsidRDefault="00464FBB"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0.27894737</w:t>
                  </w:r>
                </w:p>
              </w:tc>
            </w:tr>
            <w:tr w:rsidR="00A9383A" w:rsidRPr="00BE084C" w:rsidTr="00A3096F">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383A" w:rsidRPr="00BE084C" w:rsidRDefault="00464FBB"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460</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383A" w:rsidRPr="00BE084C" w:rsidRDefault="00464FBB"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0.194737</w:t>
                  </w:r>
                </w:p>
              </w:tc>
            </w:tr>
            <w:tr w:rsidR="00A9383A" w:rsidRPr="00BE084C" w:rsidTr="00A3096F">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383A" w:rsidRPr="00BE084C" w:rsidRDefault="00464FBB"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323</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383A" w:rsidRPr="00BE084C" w:rsidRDefault="00464FBB"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A9383A" w:rsidRPr="00BE084C" w:rsidTr="00A3096F">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383A" w:rsidRPr="00BE084C" w:rsidRDefault="00464FBB"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459</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383A" w:rsidRPr="00BE084C" w:rsidRDefault="00464FBB" w:rsidP="008353FA">
                  <w:pPr>
                    <w:framePr w:hSpace="180" w:wrap="around" w:vAnchor="text" w:hAnchor="margin" w:xAlign="center" w:y="89"/>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r>
          </w:tbl>
          <w:p w:rsidR="00BE084C" w:rsidRDefault="00BE084C" w:rsidP="00BE084C">
            <w:pPr>
              <w:jc w:val="center"/>
              <w:rPr>
                <w:rFonts w:ascii="Times New Roman" w:hAnsi="Times New Roman" w:cs="Times New Roman"/>
                <w:sz w:val="24"/>
                <w:szCs w:val="24"/>
              </w:rPr>
            </w:pPr>
          </w:p>
        </w:tc>
      </w:tr>
      <w:tr w:rsidR="00BE084C" w:rsidTr="00077E53">
        <w:trPr>
          <w:jc w:val="center"/>
        </w:trPr>
        <w:tc>
          <w:tcPr>
            <w:tcW w:w="1555" w:type="dxa"/>
            <w:vAlign w:val="center"/>
          </w:tcPr>
          <w:p w:rsidR="00BE084C" w:rsidRPr="00844050" w:rsidRDefault="00BE084C" w:rsidP="00BE084C">
            <w:pPr>
              <w:pStyle w:val="Caption"/>
              <w:keepNext/>
              <w:jc w:val="center"/>
              <w:rPr>
                <w:rFonts w:ascii="Times New Roman" w:hAnsi="Times New Roman" w:cs="Times New Roman"/>
                <w:noProof/>
                <w:color w:val="auto"/>
                <w:sz w:val="24"/>
                <w:szCs w:val="24"/>
                <w:lang w:eastAsia="en-CA"/>
              </w:rPr>
            </w:pPr>
            <w:r w:rsidRPr="00844050">
              <w:rPr>
                <w:rFonts w:ascii="Times New Roman" w:hAnsi="Times New Roman" w:cs="Times New Roman"/>
                <w:noProof/>
                <w:color w:val="auto"/>
                <w:sz w:val="24"/>
                <w:szCs w:val="24"/>
                <w:lang w:eastAsia="en-CA"/>
              </w:rPr>
              <w:t>(E)</w:t>
            </w:r>
          </w:p>
          <w:p w:rsidR="00BE084C" w:rsidRPr="00844050" w:rsidRDefault="00BE084C" w:rsidP="00BE084C">
            <w:pPr>
              <w:jc w:val="center"/>
              <w:rPr>
                <w:rFonts w:ascii="Times New Roman" w:hAnsi="Times New Roman" w:cs="Times New Roman"/>
                <w:b/>
                <w:sz w:val="24"/>
                <w:szCs w:val="24"/>
                <w:lang w:eastAsia="en-CA"/>
              </w:rPr>
            </w:pPr>
            <w:r w:rsidRPr="00844050">
              <w:rPr>
                <w:rFonts w:ascii="Times New Roman" w:hAnsi="Times New Roman" w:cs="Times New Roman"/>
                <w:b/>
                <w:sz w:val="24"/>
                <w:szCs w:val="24"/>
                <w:lang w:eastAsia="en-CA"/>
              </w:rPr>
              <w:t>Component 29</w:t>
            </w:r>
          </w:p>
          <w:p w:rsidR="00BE084C" w:rsidRPr="00844050" w:rsidRDefault="00BE084C" w:rsidP="00BE084C">
            <w:pPr>
              <w:jc w:val="center"/>
              <w:rPr>
                <w:lang w:eastAsia="en-CA"/>
              </w:rPr>
            </w:pPr>
            <w:r w:rsidRPr="00844050">
              <w:rPr>
                <w:rFonts w:ascii="Times New Roman" w:hAnsi="Times New Roman" w:cs="Times New Roman"/>
                <w:b/>
                <w:sz w:val="24"/>
                <w:szCs w:val="24"/>
                <w:lang w:eastAsia="en-CA"/>
              </w:rPr>
              <w:t>(n = 13)</w:t>
            </w:r>
          </w:p>
        </w:tc>
        <w:tc>
          <w:tcPr>
            <w:tcW w:w="3685" w:type="dxa"/>
          </w:tcPr>
          <w:p w:rsidR="00BE084C" w:rsidRPr="00433E0A" w:rsidRDefault="00B35B5E" w:rsidP="00BE084C">
            <w:pPr>
              <w:pStyle w:val="Caption"/>
              <w:keepNext/>
              <w:rPr>
                <w:color w:val="auto"/>
              </w:rPr>
            </w:pPr>
            <w:r>
              <w:rPr>
                <w:rFonts w:ascii="Times New Roman" w:hAnsi="Times New Roman" w:cs="Times New Roman"/>
                <w:noProof/>
                <w:sz w:val="24"/>
                <w:szCs w:val="24"/>
                <w:lang w:val="en-US"/>
              </w:rPr>
              <w:drawing>
                <wp:anchor distT="0" distB="0" distL="114300" distR="114300" simplePos="0" relativeHeight="251720192" behindDoc="0" locked="0" layoutInCell="1" allowOverlap="1">
                  <wp:simplePos x="0" y="0"/>
                  <wp:positionH relativeFrom="margin">
                    <wp:posOffset>1905</wp:posOffset>
                  </wp:positionH>
                  <wp:positionV relativeFrom="margin">
                    <wp:posOffset>104775</wp:posOffset>
                  </wp:positionV>
                  <wp:extent cx="2202815" cy="1238885"/>
                  <wp:effectExtent l="0" t="0" r="6985"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Component 29 Symbology.jp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02815" cy="1238885"/>
                          </a:xfrm>
                          <a:prstGeom prst="rect">
                            <a:avLst/>
                          </a:prstGeom>
                        </pic:spPr>
                      </pic:pic>
                    </a:graphicData>
                  </a:graphic>
                </wp:anchor>
              </w:drawing>
            </w:r>
            <w:r w:rsidR="00BE084C">
              <w:rPr>
                <w:rFonts w:ascii="Times New Roman" w:hAnsi="Times New Roman" w:cs="Times New Roman"/>
                <w:noProof/>
                <w:sz w:val="24"/>
                <w:szCs w:val="24"/>
                <w:lang w:eastAsia="en-CA"/>
              </w:rPr>
              <w:t xml:space="preserve"> </w:t>
            </w:r>
          </w:p>
        </w:tc>
        <w:tc>
          <w:tcPr>
            <w:tcW w:w="2977" w:type="dxa"/>
            <w:vAlign w:val="center"/>
          </w:tcPr>
          <w:p w:rsidR="00BE084C" w:rsidRDefault="00077E53" w:rsidP="00077E53">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1753235" cy="135509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Component 29 Spatial Extent.jpg"/>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53235" cy="1355090"/>
                          </a:xfrm>
                          <a:prstGeom prst="rect">
                            <a:avLst/>
                          </a:prstGeom>
                        </pic:spPr>
                      </pic:pic>
                    </a:graphicData>
                  </a:graphic>
                </wp:inline>
              </w:drawing>
            </w:r>
          </w:p>
        </w:tc>
        <w:tc>
          <w:tcPr>
            <w:tcW w:w="3118" w:type="dxa"/>
          </w:tcPr>
          <w:tbl>
            <w:tblPr>
              <w:tblpPr w:leftFromText="180" w:rightFromText="180" w:vertAnchor="page" w:horzAnchor="margin" w:tblpY="1"/>
              <w:tblOverlap w:val="never"/>
              <w:tblW w:w="2760" w:type="dxa"/>
              <w:tblLayout w:type="fixed"/>
              <w:tblCellMar>
                <w:left w:w="0" w:type="dxa"/>
                <w:right w:w="0" w:type="dxa"/>
              </w:tblCellMar>
              <w:tblLook w:val="0600"/>
            </w:tblPr>
            <w:tblGrid>
              <w:gridCol w:w="1280"/>
              <w:gridCol w:w="1480"/>
            </w:tblGrid>
            <w:tr w:rsidR="00B35B5E" w:rsidRPr="00BE084C" w:rsidTr="00077E53">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5B5E" w:rsidRPr="00BE084C" w:rsidRDefault="00B35B5E" w:rsidP="00B35B5E">
                  <w:pPr>
                    <w:spacing w:after="0" w:line="240" w:lineRule="auto"/>
                    <w:jc w:val="center"/>
                    <w:rPr>
                      <w:rFonts w:ascii="Times New Roman" w:hAnsi="Times New Roman" w:cs="Times New Roman"/>
                      <w:sz w:val="24"/>
                      <w:szCs w:val="24"/>
                    </w:rPr>
                  </w:pPr>
                  <w:r w:rsidRPr="00BE084C">
                    <w:rPr>
                      <w:rFonts w:ascii="Times New Roman" w:hAnsi="Times New Roman" w:cs="Times New Roman"/>
                      <w:sz w:val="24"/>
                      <w:szCs w:val="24"/>
                    </w:rPr>
                    <w:t>Node</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5B5E" w:rsidRPr="00BE084C" w:rsidRDefault="00B35B5E" w:rsidP="00B35B5E">
                  <w:pPr>
                    <w:spacing w:after="0" w:line="240" w:lineRule="auto"/>
                    <w:jc w:val="center"/>
                    <w:rPr>
                      <w:rFonts w:ascii="Times New Roman" w:hAnsi="Times New Roman" w:cs="Times New Roman"/>
                      <w:sz w:val="24"/>
                      <w:szCs w:val="24"/>
                    </w:rPr>
                  </w:pPr>
                  <w:proofErr w:type="spellStart"/>
                  <w:r w:rsidRPr="00BE084C">
                    <w:rPr>
                      <w:rFonts w:ascii="Times New Roman" w:hAnsi="Times New Roman" w:cs="Times New Roman"/>
                      <w:sz w:val="24"/>
                      <w:szCs w:val="24"/>
                    </w:rPr>
                    <w:t>Betweenness</w:t>
                  </w:r>
                  <w:proofErr w:type="spellEnd"/>
                </w:p>
              </w:tc>
            </w:tr>
            <w:tr w:rsidR="00B35B5E" w:rsidRPr="00BE084C" w:rsidTr="00077E53">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5B5E" w:rsidRPr="00BE084C" w:rsidRDefault="00B35B5E" w:rsidP="00B35B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5B5E" w:rsidRPr="00BE084C" w:rsidRDefault="00B35B5E" w:rsidP="00B35B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0.7424242</w:t>
                  </w:r>
                </w:p>
              </w:tc>
            </w:tr>
            <w:tr w:rsidR="00B35B5E" w:rsidRPr="00BE084C" w:rsidTr="00077E53">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5B5E" w:rsidRPr="00BE084C" w:rsidRDefault="00B35B5E" w:rsidP="00B35B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470</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5B5E" w:rsidRPr="00BE084C" w:rsidRDefault="00B35B5E" w:rsidP="00B35B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0.53030303</w:t>
                  </w:r>
                </w:p>
              </w:tc>
            </w:tr>
            <w:tr w:rsidR="00B35B5E" w:rsidRPr="00BE084C" w:rsidTr="00077E53">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5B5E" w:rsidRPr="00BE084C" w:rsidRDefault="00B35B5E" w:rsidP="00B35B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436</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5B5E" w:rsidRPr="00BE084C" w:rsidRDefault="00B35B5E" w:rsidP="00B35B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0.4393939</w:t>
                  </w:r>
                </w:p>
              </w:tc>
            </w:tr>
            <w:tr w:rsidR="00B35B5E" w:rsidRPr="00BE084C" w:rsidTr="00077E53">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5B5E" w:rsidRPr="00BE084C" w:rsidRDefault="00B35B5E" w:rsidP="00B35B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550</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5B5E" w:rsidRPr="00BE084C" w:rsidRDefault="00B35B5E" w:rsidP="00B35B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0.3030303</w:t>
                  </w:r>
                </w:p>
              </w:tc>
            </w:tr>
            <w:tr w:rsidR="00234DA9" w:rsidRPr="00BE084C" w:rsidTr="00077E53">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34DA9" w:rsidRDefault="00234DA9" w:rsidP="00B35B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R31</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34DA9" w:rsidRDefault="00234DA9" w:rsidP="00B35B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0.1666667</w:t>
                  </w:r>
                </w:p>
              </w:tc>
            </w:tr>
            <w:tr w:rsidR="00B35B5E" w:rsidRPr="00BE084C" w:rsidTr="00077E53">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5B5E" w:rsidRPr="00BE084C" w:rsidRDefault="00B35B5E" w:rsidP="00B35B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449</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5B5E" w:rsidRPr="00BE084C" w:rsidRDefault="00B35B5E" w:rsidP="00B35B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0.1666667</w:t>
                  </w:r>
                </w:p>
              </w:tc>
            </w:tr>
            <w:tr w:rsidR="00B35B5E" w:rsidRPr="00BE084C" w:rsidTr="00077E53">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5B5E" w:rsidRPr="00BE084C" w:rsidRDefault="00B35B5E" w:rsidP="00B35B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435</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5B5E" w:rsidRPr="00BE084C" w:rsidRDefault="00B35B5E" w:rsidP="00B35B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0.1666667</w:t>
                  </w:r>
                </w:p>
              </w:tc>
            </w:tr>
          </w:tbl>
          <w:p w:rsidR="00BE084C" w:rsidRDefault="00BE084C" w:rsidP="00BE084C">
            <w:pPr>
              <w:jc w:val="center"/>
              <w:rPr>
                <w:rFonts w:ascii="Times New Roman" w:hAnsi="Times New Roman" w:cs="Times New Roman"/>
                <w:sz w:val="24"/>
                <w:szCs w:val="24"/>
              </w:rPr>
            </w:pPr>
          </w:p>
        </w:tc>
      </w:tr>
    </w:tbl>
    <w:p w:rsidR="003E7C52" w:rsidRDefault="003E7C52" w:rsidP="00DC77D8">
      <w:pPr>
        <w:rPr>
          <w:rFonts w:ascii="Times New Roman" w:hAnsi="Times New Roman" w:cs="Times New Roman"/>
          <w:sz w:val="24"/>
          <w:szCs w:val="24"/>
        </w:rPr>
      </w:pPr>
    </w:p>
    <w:p w:rsidR="0024019D" w:rsidRPr="009A6E09" w:rsidRDefault="004C5309" w:rsidP="009A6E09">
      <w:pPr>
        <w:rPr>
          <w:rFonts w:ascii="Times New Roman" w:hAnsi="Times New Roman" w:cs="Times New Roman"/>
          <w:color w:val="FF0000"/>
          <w:sz w:val="24"/>
          <w:szCs w:val="24"/>
        </w:rPr>
      </w:pPr>
      <w:r w:rsidRPr="00077E53">
        <w:rPr>
          <w:rFonts w:ascii="Times New Roman" w:hAnsi="Times New Roman" w:cs="Times New Roman"/>
          <w:sz w:val="24"/>
          <w:szCs w:val="24"/>
        </w:rPr>
        <w:t xml:space="preserve">Component 1 </w:t>
      </w:r>
      <w:r w:rsidR="00D049EB" w:rsidRPr="00077E53">
        <w:rPr>
          <w:rFonts w:ascii="Times New Roman" w:hAnsi="Times New Roman" w:cs="Times New Roman"/>
          <w:sz w:val="24"/>
          <w:szCs w:val="24"/>
        </w:rPr>
        <w:t xml:space="preserve">reflected the demographic splits of the full dataset, with males making up </w:t>
      </w:r>
      <w:r w:rsidR="009E0D7D" w:rsidRPr="00077E53">
        <w:rPr>
          <w:rFonts w:ascii="Times New Roman" w:hAnsi="Times New Roman" w:cs="Times New Roman"/>
          <w:sz w:val="24"/>
          <w:szCs w:val="24"/>
        </w:rPr>
        <w:t>55.</w:t>
      </w:r>
      <w:r w:rsidR="003D0798">
        <w:rPr>
          <w:rFonts w:ascii="Times New Roman" w:hAnsi="Times New Roman" w:cs="Times New Roman"/>
          <w:sz w:val="24"/>
          <w:szCs w:val="24"/>
        </w:rPr>
        <w:t>4</w:t>
      </w:r>
      <w:r w:rsidR="00D049EB" w:rsidRPr="00077E53">
        <w:rPr>
          <w:rFonts w:ascii="Times New Roman" w:hAnsi="Times New Roman" w:cs="Times New Roman"/>
          <w:sz w:val="24"/>
          <w:szCs w:val="24"/>
        </w:rPr>
        <w:t xml:space="preserve">% of the network and First Nations and Metis people representing </w:t>
      </w:r>
      <w:r w:rsidR="003D0798">
        <w:rPr>
          <w:rFonts w:ascii="Times New Roman" w:hAnsi="Times New Roman" w:cs="Times New Roman"/>
          <w:sz w:val="24"/>
          <w:szCs w:val="24"/>
        </w:rPr>
        <w:t>75.9</w:t>
      </w:r>
      <w:r w:rsidR="00D049EB" w:rsidRPr="00077E53">
        <w:rPr>
          <w:rFonts w:ascii="Times New Roman" w:hAnsi="Times New Roman" w:cs="Times New Roman"/>
          <w:sz w:val="24"/>
          <w:szCs w:val="24"/>
        </w:rPr>
        <w:t xml:space="preserve">% of the </w:t>
      </w:r>
      <w:r w:rsidR="009E0D7D" w:rsidRPr="00077E53">
        <w:rPr>
          <w:rFonts w:ascii="Times New Roman" w:hAnsi="Times New Roman" w:cs="Times New Roman"/>
          <w:sz w:val="24"/>
          <w:szCs w:val="24"/>
        </w:rPr>
        <w:t>298</w:t>
      </w:r>
      <w:r w:rsidR="00D049EB" w:rsidRPr="00077E53">
        <w:rPr>
          <w:rFonts w:ascii="Times New Roman" w:hAnsi="Times New Roman" w:cs="Times New Roman"/>
          <w:sz w:val="24"/>
          <w:szCs w:val="24"/>
        </w:rPr>
        <w:t xml:space="preserve"> </w:t>
      </w:r>
      <w:r w:rsidR="009E0D7D" w:rsidRPr="00077E53">
        <w:rPr>
          <w:rFonts w:ascii="Times New Roman" w:hAnsi="Times New Roman" w:cs="Times New Roman"/>
          <w:sz w:val="24"/>
          <w:szCs w:val="24"/>
        </w:rPr>
        <w:t>respondents</w:t>
      </w:r>
      <w:r w:rsidR="00D049EB" w:rsidRPr="00077E53">
        <w:rPr>
          <w:rFonts w:ascii="Times New Roman" w:hAnsi="Times New Roman" w:cs="Times New Roman"/>
          <w:sz w:val="24"/>
          <w:szCs w:val="24"/>
        </w:rPr>
        <w:t xml:space="preserve">. </w:t>
      </w:r>
      <w:r w:rsidRPr="00077E53">
        <w:rPr>
          <w:rFonts w:ascii="Times New Roman" w:hAnsi="Times New Roman" w:cs="Times New Roman"/>
          <w:sz w:val="24"/>
          <w:szCs w:val="24"/>
        </w:rPr>
        <w:t xml:space="preserve"> </w:t>
      </w:r>
      <w:r w:rsidR="00E439FC" w:rsidRPr="00077E53">
        <w:rPr>
          <w:rFonts w:ascii="Times New Roman" w:hAnsi="Times New Roman" w:cs="Times New Roman"/>
          <w:sz w:val="24"/>
          <w:szCs w:val="24"/>
        </w:rPr>
        <w:t xml:space="preserve">Of </w:t>
      </w:r>
      <w:r w:rsidR="009A6E09">
        <w:rPr>
          <w:rFonts w:ascii="Times New Roman" w:hAnsi="Times New Roman" w:cs="Times New Roman"/>
          <w:sz w:val="24"/>
          <w:szCs w:val="24"/>
        </w:rPr>
        <w:t>those</w:t>
      </w:r>
      <w:r w:rsidR="00E439FC" w:rsidRPr="00077E53">
        <w:rPr>
          <w:rFonts w:ascii="Times New Roman" w:hAnsi="Times New Roman" w:cs="Times New Roman"/>
          <w:sz w:val="24"/>
          <w:szCs w:val="24"/>
        </w:rPr>
        <w:t xml:space="preserve"> that consented to testing for STI/BBP, 31.2% were infected with HCV and 6.7% were HIV-positive; 5% were co-infected with HCV and HIV. Over half of injected drug users in Component 1 were infected with HCV and 9% were co-infected</w:t>
      </w:r>
      <w:r w:rsidR="007D4DA3">
        <w:rPr>
          <w:rFonts w:ascii="Times New Roman" w:hAnsi="Times New Roman" w:cs="Times New Roman"/>
          <w:sz w:val="24"/>
          <w:szCs w:val="24"/>
        </w:rPr>
        <w:t xml:space="preserve"> (summarized in Table 1)</w:t>
      </w:r>
      <w:r w:rsidR="00E439FC" w:rsidRPr="00077E53">
        <w:rPr>
          <w:rFonts w:ascii="Times New Roman" w:hAnsi="Times New Roman" w:cs="Times New Roman"/>
          <w:sz w:val="24"/>
          <w:szCs w:val="24"/>
        </w:rPr>
        <w:t>.</w:t>
      </w:r>
      <w:r w:rsidR="009A6E09">
        <w:rPr>
          <w:rFonts w:ascii="Times New Roman" w:hAnsi="Times New Roman" w:cs="Times New Roman"/>
          <w:sz w:val="24"/>
          <w:szCs w:val="24"/>
        </w:rPr>
        <w:t xml:space="preserve"> The table indicates a high “unknown” rate across the five components for participation in risk behaviours. This is the proportion of the study sample who did not give a location for this activities – it includes both nonparticipants and those who did not disclose this information.</w:t>
      </w:r>
    </w:p>
    <w:p w:rsidR="009A6E09" w:rsidRPr="009A6E09" w:rsidRDefault="009A6E09" w:rsidP="009A6E09">
      <w:pPr>
        <w:sectPr w:rsidR="009A6E09" w:rsidRPr="009A6E09">
          <w:pgSz w:w="12240" w:h="15840"/>
          <w:pgMar w:top="1440" w:right="1440" w:bottom="1440" w:left="1440" w:header="708" w:footer="708" w:gutter="0"/>
          <w:cols w:space="708"/>
          <w:docGrid w:linePitch="360"/>
        </w:sectPr>
      </w:pPr>
    </w:p>
    <w:p w:rsidR="007D4DA3" w:rsidRDefault="007D4DA3" w:rsidP="007D4DA3">
      <w:pPr>
        <w:rPr>
          <w:rFonts w:ascii="Times New Roman" w:hAnsi="Times New Roman" w:cs="Times New Roman"/>
          <w:sz w:val="24"/>
          <w:szCs w:val="24"/>
        </w:rPr>
      </w:pPr>
      <w:proofErr w:type="gramStart"/>
      <w:r w:rsidRPr="00556DBE">
        <w:rPr>
          <w:rFonts w:ascii="Times New Roman" w:hAnsi="Times New Roman" w:cs="Times New Roman"/>
          <w:b/>
          <w:sz w:val="24"/>
          <w:szCs w:val="24"/>
        </w:rPr>
        <w:lastRenderedPageBreak/>
        <w:t>Table 1:</w:t>
      </w:r>
      <w:r>
        <w:rPr>
          <w:rFonts w:ascii="Times New Roman" w:hAnsi="Times New Roman" w:cs="Times New Roman"/>
          <w:sz w:val="24"/>
          <w:szCs w:val="24"/>
        </w:rPr>
        <w:t xml:space="preserve"> Characteristics of components 1, 2, 3, 7 and 29.</w:t>
      </w:r>
      <w:proofErr w:type="gramEnd"/>
    </w:p>
    <w:tbl>
      <w:tblPr>
        <w:tblStyle w:val="TableGrid"/>
        <w:tblW w:w="0" w:type="auto"/>
        <w:tblLayout w:type="fixed"/>
        <w:tblLook w:val="04A0"/>
      </w:tblPr>
      <w:tblGrid>
        <w:gridCol w:w="1337"/>
        <w:gridCol w:w="1352"/>
        <w:gridCol w:w="1559"/>
        <w:gridCol w:w="1417"/>
        <w:gridCol w:w="1843"/>
        <w:gridCol w:w="1418"/>
      </w:tblGrid>
      <w:tr w:rsidR="007D4DA3" w:rsidTr="00383E14">
        <w:tc>
          <w:tcPr>
            <w:tcW w:w="1337" w:type="dxa"/>
          </w:tcPr>
          <w:p w:rsidR="007D4DA3" w:rsidRDefault="007D4DA3" w:rsidP="00A3096F">
            <w:pPr>
              <w:rPr>
                <w:rFonts w:ascii="Times New Roman" w:hAnsi="Times New Roman" w:cs="Times New Roman"/>
                <w:sz w:val="24"/>
                <w:szCs w:val="24"/>
              </w:rPr>
            </w:pPr>
            <w:r>
              <w:rPr>
                <w:rFonts w:ascii="Times New Roman" w:hAnsi="Times New Roman" w:cs="Times New Roman"/>
                <w:sz w:val="24"/>
                <w:szCs w:val="24"/>
              </w:rPr>
              <w:t>Component</w:t>
            </w:r>
          </w:p>
        </w:tc>
        <w:tc>
          <w:tcPr>
            <w:tcW w:w="1352" w:type="dxa"/>
          </w:tcPr>
          <w:p w:rsidR="007D4DA3" w:rsidRDefault="007D4DA3" w:rsidP="007D4DA3">
            <w:pPr>
              <w:rPr>
                <w:rFonts w:ascii="Times New Roman" w:hAnsi="Times New Roman" w:cs="Times New Roman"/>
                <w:sz w:val="24"/>
                <w:szCs w:val="24"/>
              </w:rPr>
            </w:pPr>
            <w:r>
              <w:rPr>
                <w:rFonts w:ascii="Times New Roman" w:hAnsi="Times New Roman" w:cs="Times New Roman"/>
                <w:sz w:val="24"/>
                <w:szCs w:val="24"/>
              </w:rPr>
              <w:t>Sex</w:t>
            </w:r>
            <w:r>
              <w:rPr>
                <w:rFonts w:ascii="Times New Roman" w:hAnsi="Times New Roman" w:cs="Times New Roman"/>
                <w:sz w:val="24"/>
                <w:szCs w:val="24"/>
              </w:rPr>
              <w:br/>
            </w:r>
          </w:p>
          <w:p w:rsidR="007D4DA3" w:rsidRDefault="007D4DA3" w:rsidP="007D4DA3">
            <w:pPr>
              <w:rPr>
                <w:rFonts w:ascii="Times New Roman" w:hAnsi="Times New Roman" w:cs="Times New Roman"/>
                <w:i/>
                <w:sz w:val="24"/>
                <w:szCs w:val="24"/>
              </w:rPr>
            </w:pPr>
            <w:r>
              <w:rPr>
                <w:rFonts w:ascii="Times New Roman" w:hAnsi="Times New Roman" w:cs="Times New Roman"/>
                <w:i/>
                <w:sz w:val="24"/>
                <w:szCs w:val="24"/>
              </w:rPr>
              <w:t>% Male</w:t>
            </w:r>
          </w:p>
          <w:p w:rsidR="007D4DA3" w:rsidRDefault="007D4DA3" w:rsidP="007D4DA3">
            <w:pPr>
              <w:rPr>
                <w:rFonts w:ascii="Times New Roman" w:hAnsi="Times New Roman" w:cs="Times New Roman"/>
                <w:i/>
                <w:sz w:val="24"/>
                <w:szCs w:val="24"/>
              </w:rPr>
            </w:pPr>
            <w:r>
              <w:rPr>
                <w:rFonts w:ascii="Times New Roman" w:hAnsi="Times New Roman" w:cs="Times New Roman"/>
                <w:i/>
                <w:sz w:val="24"/>
                <w:szCs w:val="24"/>
              </w:rPr>
              <w:t>% Female</w:t>
            </w:r>
          </w:p>
          <w:p w:rsidR="00A21F50" w:rsidRPr="007D4DA3" w:rsidRDefault="00A21F50" w:rsidP="007D4DA3">
            <w:pPr>
              <w:rPr>
                <w:rFonts w:ascii="Times New Roman" w:hAnsi="Times New Roman" w:cs="Times New Roman"/>
                <w:i/>
                <w:sz w:val="24"/>
                <w:szCs w:val="24"/>
              </w:rPr>
            </w:pPr>
            <w:r>
              <w:rPr>
                <w:rFonts w:ascii="Times New Roman" w:hAnsi="Times New Roman" w:cs="Times New Roman"/>
                <w:i/>
                <w:sz w:val="24"/>
                <w:szCs w:val="24"/>
              </w:rPr>
              <w:t>% Other</w:t>
            </w:r>
          </w:p>
          <w:p w:rsidR="007D4DA3" w:rsidRDefault="007D4DA3" w:rsidP="00A3096F">
            <w:pPr>
              <w:rPr>
                <w:rFonts w:ascii="Times New Roman" w:hAnsi="Times New Roman" w:cs="Times New Roman"/>
                <w:sz w:val="24"/>
                <w:szCs w:val="24"/>
              </w:rPr>
            </w:pPr>
          </w:p>
        </w:tc>
        <w:tc>
          <w:tcPr>
            <w:tcW w:w="1559" w:type="dxa"/>
          </w:tcPr>
          <w:p w:rsidR="007D4DA3" w:rsidRDefault="007D4DA3" w:rsidP="00A3096F">
            <w:pPr>
              <w:rPr>
                <w:rFonts w:ascii="Times New Roman" w:hAnsi="Times New Roman" w:cs="Times New Roman"/>
                <w:sz w:val="24"/>
                <w:szCs w:val="24"/>
              </w:rPr>
            </w:pPr>
            <w:r>
              <w:rPr>
                <w:rFonts w:ascii="Times New Roman" w:hAnsi="Times New Roman" w:cs="Times New Roman"/>
                <w:sz w:val="24"/>
                <w:szCs w:val="24"/>
              </w:rPr>
              <w:t>Activity</w:t>
            </w:r>
          </w:p>
          <w:p w:rsidR="007D4DA3" w:rsidRDefault="007D4DA3" w:rsidP="00A3096F">
            <w:pPr>
              <w:rPr>
                <w:rFonts w:ascii="Times New Roman" w:hAnsi="Times New Roman" w:cs="Times New Roman"/>
                <w:sz w:val="24"/>
                <w:szCs w:val="24"/>
              </w:rPr>
            </w:pPr>
          </w:p>
          <w:p w:rsidR="007D4DA3" w:rsidRDefault="007D4DA3" w:rsidP="00A3096F">
            <w:pPr>
              <w:rPr>
                <w:rFonts w:ascii="Times New Roman" w:hAnsi="Times New Roman" w:cs="Times New Roman"/>
                <w:i/>
                <w:sz w:val="24"/>
                <w:szCs w:val="24"/>
              </w:rPr>
            </w:pPr>
            <w:r>
              <w:rPr>
                <w:rFonts w:ascii="Times New Roman" w:hAnsi="Times New Roman" w:cs="Times New Roman"/>
                <w:i/>
                <w:sz w:val="24"/>
                <w:szCs w:val="24"/>
              </w:rPr>
              <w:t>% IDU</w:t>
            </w:r>
          </w:p>
          <w:p w:rsidR="007D4DA3" w:rsidRDefault="007D4DA3" w:rsidP="00A3096F">
            <w:pPr>
              <w:rPr>
                <w:rFonts w:ascii="Times New Roman" w:hAnsi="Times New Roman" w:cs="Times New Roman"/>
                <w:i/>
                <w:sz w:val="24"/>
                <w:szCs w:val="24"/>
              </w:rPr>
            </w:pPr>
            <w:r>
              <w:rPr>
                <w:rFonts w:ascii="Times New Roman" w:hAnsi="Times New Roman" w:cs="Times New Roman"/>
                <w:i/>
                <w:sz w:val="24"/>
                <w:szCs w:val="24"/>
              </w:rPr>
              <w:t>% Sex Trade</w:t>
            </w:r>
          </w:p>
          <w:p w:rsidR="007D4DA3" w:rsidRDefault="007D4DA3" w:rsidP="00A3096F">
            <w:pPr>
              <w:rPr>
                <w:rFonts w:ascii="Times New Roman" w:hAnsi="Times New Roman" w:cs="Times New Roman"/>
                <w:i/>
                <w:sz w:val="24"/>
                <w:szCs w:val="24"/>
              </w:rPr>
            </w:pPr>
            <w:r>
              <w:rPr>
                <w:rFonts w:ascii="Times New Roman" w:hAnsi="Times New Roman" w:cs="Times New Roman"/>
                <w:i/>
                <w:sz w:val="24"/>
                <w:szCs w:val="24"/>
              </w:rPr>
              <w:t>% Both</w:t>
            </w:r>
          </w:p>
          <w:p w:rsidR="007D4DA3" w:rsidRPr="007D4DA3" w:rsidRDefault="007D4DA3" w:rsidP="00A3096F">
            <w:pPr>
              <w:rPr>
                <w:rFonts w:ascii="Times New Roman" w:hAnsi="Times New Roman" w:cs="Times New Roman"/>
                <w:i/>
                <w:sz w:val="24"/>
                <w:szCs w:val="24"/>
              </w:rPr>
            </w:pPr>
            <w:r>
              <w:rPr>
                <w:rFonts w:ascii="Times New Roman" w:hAnsi="Times New Roman" w:cs="Times New Roman"/>
                <w:i/>
                <w:sz w:val="24"/>
                <w:szCs w:val="24"/>
              </w:rPr>
              <w:t>% Unknown</w:t>
            </w:r>
          </w:p>
        </w:tc>
        <w:tc>
          <w:tcPr>
            <w:tcW w:w="1417" w:type="dxa"/>
          </w:tcPr>
          <w:p w:rsidR="007D4DA3" w:rsidRDefault="007D4DA3" w:rsidP="00A3096F">
            <w:pPr>
              <w:rPr>
                <w:rFonts w:ascii="Times New Roman" w:hAnsi="Times New Roman" w:cs="Times New Roman"/>
                <w:sz w:val="24"/>
                <w:szCs w:val="24"/>
              </w:rPr>
            </w:pPr>
            <w:r>
              <w:rPr>
                <w:rFonts w:ascii="Times New Roman" w:hAnsi="Times New Roman" w:cs="Times New Roman"/>
                <w:sz w:val="24"/>
                <w:szCs w:val="24"/>
              </w:rPr>
              <w:t>Disease</w:t>
            </w:r>
          </w:p>
          <w:p w:rsidR="007D4DA3" w:rsidRDefault="007D4DA3" w:rsidP="00A3096F">
            <w:pPr>
              <w:rPr>
                <w:rFonts w:ascii="Times New Roman" w:hAnsi="Times New Roman" w:cs="Times New Roman"/>
                <w:sz w:val="24"/>
                <w:szCs w:val="24"/>
              </w:rPr>
            </w:pPr>
          </w:p>
          <w:p w:rsidR="007D4DA3" w:rsidRDefault="007D4DA3" w:rsidP="00A3096F">
            <w:pPr>
              <w:rPr>
                <w:rFonts w:ascii="Times New Roman" w:hAnsi="Times New Roman" w:cs="Times New Roman"/>
                <w:i/>
                <w:sz w:val="24"/>
                <w:szCs w:val="24"/>
              </w:rPr>
            </w:pPr>
            <w:r>
              <w:rPr>
                <w:rFonts w:ascii="Times New Roman" w:hAnsi="Times New Roman" w:cs="Times New Roman"/>
                <w:i/>
                <w:sz w:val="24"/>
                <w:szCs w:val="24"/>
              </w:rPr>
              <w:t>% with STI</w:t>
            </w:r>
          </w:p>
          <w:p w:rsidR="007D4DA3" w:rsidRDefault="007D4DA3" w:rsidP="00A3096F">
            <w:pPr>
              <w:rPr>
                <w:rFonts w:ascii="Times New Roman" w:hAnsi="Times New Roman" w:cs="Times New Roman"/>
                <w:i/>
                <w:sz w:val="24"/>
                <w:szCs w:val="24"/>
              </w:rPr>
            </w:pPr>
            <w:r>
              <w:rPr>
                <w:rFonts w:ascii="Times New Roman" w:hAnsi="Times New Roman" w:cs="Times New Roman"/>
                <w:i/>
                <w:sz w:val="24"/>
                <w:szCs w:val="24"/>
              </w:rPr>
              <w:t>% with BBP</w:t>
            </w:r>
          </w:p>
          <w:p w:rsidR="007D4DA3" w:rsidRDefault="007D4DA3" w:rsidP="00A3096F">
            <w:pPr>
              <w:rPr>
                <w:rFonts w:ascii="Times New Roman" w:hAnsi="Times New Roman" w:cs="Times New Roman"/>
                <w:i/>
                <w:sz w:val="24"/>
                <w:szCs w:val="24"/>
              </w:rPr>
            </w:pPr>
            <w:r>
              <w:rPr>
                <w:rFonts w:ascii="Times New Roman" w:hAnsi="Times New Roman" w:cs="Times New Roman"/>
                <w:i/>
                <w:sz w:val="24"/>
                <w:szCs w:val="24"/>
              </w:rPr>
              <w:t>% Both</w:t>
            </w:r>
          </w:p>
          <w:p w:rsidR="00383E14" w:rsidRPr="007D4DA3" w:rsidRDefault="00383E14" w:rsidP="00A3096F">
            <w:pPr>
              <w:rPr>
                <w:rFonts w:ascii="Times New Roman" w:hAnsi="Times New Roman" w:cs="Times New Roman"/>
                <w:i/>
                <w:sz w:val="24"/>
                <w:szCs w:val="24"/>
              </w:rPr>
            </w:pPr>
            <w:r>
              <w:rPr>
                <w:rFonts w:ascii="Times New Roman" w:hAnsi="Times New Roman" w:cs="Times New Roman"/>
                <w:i/>
                <w:sz w:val="24"/>
                <w:szCs w:val="24"/>
              </w:rPr>
              <w:t>% Refused</w:t>
            </w:r>
          </w:p>
        </w:tc>
        <w:tc>
          <w:tcPr>
            <w:tcW w:w="1843" w:type="dxa"/>
          </w:tcPr>
          <w:p w:rsidR="007D4DA3" w:rsidRDefault="007D4DA3" w:rsidP="00A3096F">
            <w:pPr>
              <w:rPr>
                <w:rFonts w:ascii="Times New Roman" w:hAnsi="Times New Roman" w:cs="Times New Roman"/>
                <w:sz w:val="24"/>
                <w:szCs w:val="24"/>
              </w:rPr>
            </w:pPr>
            <w:r>
              <w:rPr>
                <w:rFonts w:ascii="Times New Roman" w:hAnsi="Times New Roman" w:cs="Times New Roman"/>
                <w:sz w:val="24"/>
                <w:szCs w:val="24"/>
              </w:rPr>
              <w:t>Ethnicity</w:t>
            </w:r>
          </w:p>
          <w:p w:rsidR="007D4DA3" w:rsidRDefault="007D4DA3" w:rsidP="00A3096F">
            <w:pPr>
              <w:rPr>
                <w:rFonts w:ascii="Times New Roman" w:hAnsi="Times New Roman" w:cs="Times New Roman"/>
                <w:sz w:val="24"/>
                <w:szCs w:val="24"/>
              </w:rPr>
            </w:pPr>
          </w:p>
          <w:p w:rsidR="007D4DA3" w:rsidRDefault="007D4DA3" w:rsidP="00A3096F">
            <w:pPr>
              <w:rPr>
                <w:rFonts w:ascii="Times New Roman" w:hAnsi="Times New Roman" w:cs="Times New Roman"/>
                <w:i/>
                <w:sz w:val="24"/>
                <w:szCs w:val="24"/>
              </w:rPr>
            </w:pPr>
            <w:r>
              <w:rPr>
                <w:rFonts w:ascii="Times New Roman" w:hAnsi="Times New Roman" w:cs="Times New Roman"/>
                <w:i/>
                <w:sz w:val="24"/>
                <w:szCs w:val="24"/>
              </w:rPr>
              <w:t>% Caucasian</w:t>
            </w:r>
          </w:p>
          <w:p w:rsidR="007D4DA3" w:rsidRDefault="007D4DA3" w:rsidP="00A3096F">
            <w:pPr>
              <w:rPr>
                <w:rFonts w:ascii="Times New Roman" w:hAnsi="Times New Roman" w:cs="Times New Roman"/>
                <w:i/>
                <w:sz w:val="24"/>
                <w:szCs w:val="24"/>
              </w:rPr>
            </w:pPr>
            <w:r>
              <w:rPr>
                <w:rFonts w:ascii="Times New Roman" w:hAnsi="Times New Roman" w:cs="Times New Roman"/>
                <w:i/>
                <w:sz w:val="24"/>
                <w:szCs w:val="24"/>
              </w:rPr>
              <w:t>% First Nations</w:t>
            </w:r>
          </w:p>
          <w:p w:rsidR="007D4DA3" w:rsidRDefault="007D4DA3" w:rsidP="00A3096F">
            <w:pPr>
              <w:rPr>
                <w:rFonts w:ascii="Times New Roman" w:hAnsi="Times New Roman" w:cs="Times New Roman"/>
                <w:i/>
                <w:sz w:val="24"/>
                <w:szCs w:val="24"/>
              </w:rPr>
            </w:pPr>
            <w:r>
              <w:rPr>
                <w:rFonts w:ascii="Times New Roman" w:hAnsi="Times New Roman" w:cs="Times New Roman"/>
                <w:i/>
                <w:sz w:val="24"/>
                <w:szCs w:val="24"/>
              </w:rPr>
              <w:t>%M</w:t>
            </w:r>
            <w:r w:rsidR="00A21F50">
              <w:rPr>
                <w:rFonts w:ascii="Times New Roman" w:hAnsi="Times New Roman" w:cs="Times New Roman"/>
                <w:i/>
                <w:sz w:val="24"/>
                <w:szCs w:val="24"/>
              </w:rPr>
              <w:t>étis</w:t>
            </w:r>
          </w:p>
          <w:p w:rsidR="00383E14" w:rsidRPr="007D4DA3" w:rsidRDefault="00383E14" w:rsidP="00A3096F">
            <w:pPr>
              <w:rPr>
                <w:rFonts w:ascii="Times New Roman" w:hAnsi="Times New Roman" w:cs="Times New Roman"/>
                <w:i/>
                <w:sz w:val="24"/>
                <w:szCs w:val="24"/>
              </w:rPr>
            </w:pPr>
            <w:r>
              <w:rPr>
                <w:rFonts w:ascii="Times New Roman" w:hAnsi="Times New Roman" w:cs="Times New Roman"/>
                <w:i/>
                <w:sz w:val="24"/>
                <w:szCs w:val="24"/>
              </w:rPr>
              <w:t>% Other</w:t>
            </w:r>
          </w:p>
        </w:tc>
        <w:tc>
          <w:tcPr>
            <w:tcW w:w="1418" w:type="dxa"/>
          </w:tcPr>
          <w:p w:rsidR="007D4DA3" w:rsidRDefault="007D4DA3" w:rsidP="007D4DA3">
            <w:pPr>
              <w:rPr>
                <w:rFonts w:ascii="Times New Roman" w:hAnsi="Times New Roman" w:cs="Times New Roman"/>
                <w:sz w:val="24"/>
                <w:szCs w:val="24"/>
              </w:rPr>
            </w:pPr>
            <w:r>
              <w:rPr>
                <w:rFonts w:ascii="Times New Roman" w:hAnsi="Times New Roman" w:cs="Times New Roman"/>
                <w:sz w:val="24"/>
                <w:szCs w:val="24"/>
              </w:rPr>
              <w:t>Mean Distance</w:t>
            </w:r>
            <w:r w:rsidR="00383E14">
              <w:rPr>
                <w:rFonts w:ascii="Times New Roman" w:hAnsi="Times New Roman" w:cs="Times New Roman"/>
                <w:sz w:val="24"/>
                <w:szCs w:val="24"/>
              </w:rPr>
              <w:t xml:space="preserve"> / Component Area</w:t>
            </w:r>
          </w:p>
        </w:tc>
      </w:tr>
      <w:tr w:rsidR="007D4DA3" w:rsidTr="003D0798">
        <w:tc>
          <w:tcPr>
            <w:tcW w:w="1337" w:type="dxa"/>
            <w:vAlign w:val="center"/>
          </w:tcPr>
          <w:p w:rsidR="007D4DA3" w:rsidRDefault="00A21F50" w:rsidP="00A21F50">
            <w:pPr>
              <w:jc w:val="center"/>
              <w:rPr>
                <w:rFonts w:ascii="Times New Roman" w:hAnsi="Times New Roman" w:cs="Times New Roman"/>
                <w:sz w:val="24"/>
                <w:szCs w:val="24"/>
              </w:rPr>
            </w:pPr>
            <w:r>
              <w:rPr>
                <w:rFonts w:ascii="Times New Roman" w:hAnsi="Times New Roman" w:cs="Times New Roman"/>
                <w:sz w:val="24"/>
                <w:szCs w:val="24"/>
              </w:rPr>
              <w:t>1</w:t>
            </w:r>
          </w:p>
        </w:tc>
        <w:tc>
          <w:tcPr>
            <w:tcW w:w="1352" w:type="dxa"/>
            <w:vAlign w:val="center"/>
          </w:tcPr>
          <w:p w:rsidR="007D4DA3" w:rsidRDefault="00A21F50" w:rsidP="00A21F50">
            <w:pPr>
              <w:rPr>
                <w:rFonts w:ascii="Times New Roman" w:hAnsi="Times New Roman" w:cs="Times New Roman"/>
                <w:sz w:val="24"/>
                <w:szCs w:val="24"/>
              </w:rPr>
            </w:pPr>
            <w:r>
              <w:rPr>
                <w:rFonts w:ascii="Times New Roman" w:hAnsi="Times New Roman" w:cs="Times New Roman"/>
                <w:sz w:val="24"/>
                <w:szCs w:val="24"/>
              </w:rPr>
              <w:t>55.4%</w:t>
            </w:r>
          </w:p>
          <w:p w:rsidR="00A21F50" w:rsidRDefault="00A21F50" w:rsidP="00A21F50">
            <w:pPr>
              <w:rPr>
                <w:rFonts w:ascii="Times New Roman" w:hAnsi="Times New Roman" w:cs="Times New Roman"/>
                <w:sz w:val="24"/>
                <w:szCs w:val="24"/>
              </w:rPr>
            </w:pPr>
            <w:r>
              <w:rPr>
                <w:rFonts w:ascii="Times New Roman" w:hAnsi="Times New Roman" w:cs="Times New Roman"/>
                <w:sz w:val="24"/>
                <w:szCs w:val="24"/>
              </w:rPr>
              <w:t>42.3%</w:t>
            </w:r>
          </w:p>
          <w:p w:rsidR="00A21F50" w:rsidRDefault="00A21F50" w:rsidP="00A21F50">
            <w:pPr>
              <w:rPr>
                <w:rFonts w:ascii="Times New Roman" w:hAnsi="Times New Roman" w:cs="Times New Roman"/>
                <w:sz w:val="24"/>
                <w:szCs w:val="24"/>
              </w:rPr>
            </w:pPr>
            <w:r>
              <w:rPr>
                <w:rFonts w:ascii="Times New Roman" w:hAnsi="Times New Roman" w:cs="Times New Roman"/>
                <w:sz w:val="24"/>
                <w:szCs w:val="24"/>
              </w:rPr>
              <w:t>2.0%</w:t>
            </w:r>
          </w:p>
        </w:tc>
        <w:tc>
          <w:tcPr>
            <w:tcW w:w="1559" w:type="dxa"/>
          </w:tcPr>
          <w:p w:rsidR="007D4DA3" w:rsidRDefault="00A21F50" w:rsidP="00A3096F">
            <w:pPr>
              <w:rPr>
                <w:rFonts w:ascii="Times New Roman" w:hAnsi="Times New Roman" w:cs="Times New Roman"/>
                <w:sz w:val="24"/>
                <w:szCs w:val="24"/>
              </w:rPr>
            </w:pPr>
            <w:r>
              <w:rPr>
                <w:rFonts w:ascii="Times New Roman" w:hAnsi="Times New Roman" w:cs="Times New Roman"/>
                <w:sz w:val="24"/>
                <w:szCs w:val="24"/>
              </w:rPr>
              <w:t>21.5%</w:t>
            </w:r>
          </w:p>
          <w:p w:rsidR="00A21F50" w:rsidRDefault="00A21F50" w:rsidP="00A3096F">
            <w:pPr>
              <w:rPr>
                <w:rFonts w:ascii="Times New Roman" w:hAnsi="Times New Roman" w:cs="Times New Roman"/>
                <w:sz w:val="24"/>
                <w:szCs w:val="24"/>
              </w:rPr>
            </w:pPr>
            <w:r>
              <w:rPr>
                <w:rFonts w:ascii="Times New Roman" w:hAnsi="Times New Roman" w:cs="Times New Roman"/>
                <w:sz w:val="24"/>
                <w:szCs w:val="24"/>
              </w:rPr>
              <w:t>5.7%</w:t>
            </w:r>
          </w:p>
          <w:p w:rsidR="00A21F50" w:rsidRDefault="00A21F50" w:rsidP="00A3096F">
            <w:pPr>
              <w:rPr>
                <w:rFonts w:ascii="Times New Roman" w:hAnsi="Times New Roman" w:cs="Times New Roman"/>
                <w:sz w:val="24"/>
                <w:szCs w:val="24"/>
              </w:rPr>
            </w:pPr>
            <w:r>
              <w:rPr>
                <w:rFonts w:ascii="Times New Roman" w:hAnsi="Times New Roman" w:cs="Times New Roman"/>
                <w:sz w:val="24"/>
                <w:szCs w:val="24"/>
              </w:rPr>
              <w:t>3.4%</w:t>
            </w:r>
          </w:p>
          <w:p w:rsidR="00A21F50" w:rsidRDefault="00A21F50" w:rsidP="00A3096F">
            <w:pPr>
              <w:rPr>
                <w:rFonts w:ascii="Times New Roman" w:hAnsi="Times New Roman" w:cs="Times New Roman"/>
                <w:sz w:val="24"/>
                <w:szCs w:val="24"/>
              </w:rPr>
            </w:pPr>
            <w:r>
              <w:rPr>
                <w:rFonts w:ascii="Times New Roman" w:hAnsi="Times New Roman" w:cs="Times New Roman"/>
                <w:sz w:val="24"/>
                <w:szCs w:val="24"/>
              </w:rPr>
              <w:t>69.5%</w:t>
            </w:r>
          </w:p>
        </w:tc>
        <w:tc>
          <w:tcPr>
            <w:tcW w:w="1417" w:type="dxa"/>
          </w:tcPr>
          <w:p w:rsidR="007D4DA3" w:rsidRDefault="00383E14" w:rsidP="00A3096F">
            <w:pPr>
              <w:rPr>
                <w:rFonts w:ascii="Times New Roman" w:hAnsi="Times New Roman" w:cs="Times New Roman"/>
                <w:sz w:val="24"/>
                <w:szCs w:val="24"/>
              </w:rPr>
            </w:pPr>
            <w:r>
              <w:rPr>
                <w:rFonts w:ascii="Times New Roman" w:hAnsi="Times New Roman" w:cs="Times New Roman"/>
                <w:sz w:val="24"/>
                <w:szCs w:val="24"/>
              </w:rPr>
              <w:t>4.7%</w:t>
            </w:r>
          </w:p>
          <w:p w:rsidR="00383E14" w:rsidRDefault="00383E14" w:rsidP="00A3096F">
            <w:pPr>
              <w:rPr>
                <w:rFonts w:ascii="Times New Roman" w:hAnsi="Times New Roman" w:cs="Times New Roman"/>
                <w:sz w:val="24"/>
                <w:szCs w:val="24"/>
              </w:rPr>
            </w:pPr>
            <w:r>
              <w:rPr>
                <w:rFonts w:ascii="Times New Roman" w:hAnsi="Times New Roman" w:cs="Times New Roman"/>
                <w:sz w:val="24"/>
                <w:szCs w:val="24"/>
              </w:rPr>
              <w:t>32.6%</w:t>
            </w:r>
          </w:p>
          <w:p w:rsidR="00383E14" w:rsidRDefault="00383E14" w:rsidP="00A3096F">
            <w:pPr>
              <w:rPr>
                <w:rFonts w:ascii="Times New Roman" w:hAnsi="Times New Roman" w:cs="Times New Roman"/>
                <w:sz w:val="24"/>
                <w:szCs w:val="24"/>
              </w:rPr>
            </w:pPr>
            <w:r>
              <w:rPr>
                <w:rFonts w:ascii="Times New Roman" w:hAnsi="Times New Roman" w:cs="Times New Roman"/>
                <w:sz w:val="24"/>
                <w:szCs w:val="24"/>
              </w:rPr>
              <w:t>13.1%</w:t>
            </w:r>
          </w:p>
          <w:p w:rsidR="00383E14" w:rsidRDefault="00383E14" w:rsidP="00A3096F">
            <w:pPr>
              <w:rPr>
                <w:rFonts w:ascii="Times New Roman" w:hAnsi="Times New Roman" w:cs="Times New Roman"/>
                <w:sz w:val="24"/>
                <w:szCs w:val="24"/>
              </w:rPr>
            </w:pPr>
            <w:r>
              <w:rPr>
                <w:rFonts w:ascii="Times New Roman" w:hAnsi="Times New Roman" w:cs="Times New Roman"/>
                <w:sz w:val="24"/>
                <w:szCs w:val="24"/>
              </w:rPr>
              <w:t>0.7%</w:t>
            </w:r>
          </w:p>
        </w:tc>
        <w:tc>
          <w:tcPr>
            <w:tcW w:w="1843" w:type="dxa"/>
          </w:tcPr>
          <w:p w:rsidR="007D4DA3" w:rsidRDefault="00383E14" w:rsidP="00A3096F">
            <w:pPr>
              <w:rPr>
                <w:rFonts w:ascii="Times New Roman" w:hAnsi="Times New Roman" w:cs="Times New Roman"/>
                <w:sz w:val="24"/>
                <w:szCs w:val="24"/>
              </w:rPr>
            </w:pPr>
            <w:r>
              <w:rPr>
                <w:rFonts w:ascii="Times New Roman" w:hAnsi="Times New Roman" w:cs="Times New Roman"/>
                <w:sz w:val="24"/>
                <w:szCs w:val="24"/>
              </w:rPr>
              <w:t>20.8%</w:t>
            </w:r>
          </w:p>
          <w:p w:rsidR="00383E14" w:rsidRDefault="00383E14" w:rsidP="00A3096F">
            <w:pPr>
              <w:rPr>
                <w:rFonts w:ascii="Times New Roman" w:hAnsi="Times New Roman" w:cs="Times New Roman"/>
                <w:sz w:val="24"/>
                <w:szCs w:val="24"/>
              </w:rPr>
            </w:pPr>
            <w:r>
              <w:rPr>
                <w:rFonts w:ascii="Times New Roman" w:hAnsi="Times New Roman" w:cs="Times New Roman"/>
                <w:sz w:val="24"/>
                <w:szCs w:val="24"/>
              </w:rPr>
              <w:t>56.4%</w:t>
            </w:r>
          </w:p>
          <w:p w:rsidR="00383E14" w:rsidRDefault="00383E14" w:rsidP="00A3096F">
            <w:pPr>
              <w:rPr>
                <w:rFonts w:ascii="Times New Roman" w:hAnsi="Times New Roman" w:cs="Times New Roman"/>
                <w:sz w:val="24"/>
                <w:szCs w:val="24"/>
              </w:rPr>
            </w:pPr>
            <w:r>
              <w:rPr>
                <w:rFonts w:ascii="Times New Roman" w:hAnsi="Times New Roman" w:cs="Times New Roman"/>
                <w:sz w:val="24"/>
                <w:szCs w:val="24"/>
              </w:rPr>
              <w:t>19.5%</w:t>
            </w:r>
          </w:p>
          <w:p w:rsidR="00383E14" w:rsidRDefault="00383E14" w:rsidP="00A3096F">
            <w:pPr>
              <w:rPr>
                <w:rFonts w:ascii="Times New Roman" w:hAnsi="Times New Roman" w:cs="Times New Roman"/>
                <w:sz w:val="24"/>
                <w:szCs w:val="24"/>
              </w:rPr>
            </w:pPr>
            <w:r>
              <w:rPr>
                <w:rFonts w:ascii="Times New Roman" w:hAnsi="Times New Roman" w:cs="Times New Roman"/>
                <w:sz w:val="24"/>
                <w:szCs w:val="24"/>
              </w:rPr>
              <w:t>3.0%</w:t>
            </w:r>
          </w:p>
        </w:tc>
        <w:tc>
          <w:tcPr>
            <w:tcW w:w="1418" w:type="dxa"/>
            <w:vAlign w:val="center"/>
          </w:tcPr>
          <w:p w:rsidR="007D4DA3" w:rsidRDefault="003D0798" w:rsidP="003D0798">
            <w:pPr>
              <w:rPr>
                <w:rFonts w:ascii="Times New Roman" w:hAnsi="Times New Roman" w:cs="Times New Roman"/>
                <w:sz w:val="24"/>
                <w:szCs w:val="24"/>
              </w:rPr>
            </w:pPr>
            <w:r>
              <w:rPr>
                <w:rFonts w:ascii="Times New Roman" w:hAnsi="Times New Roman" w:cs="Times New Roman"/>
                <w:sz w:val="24"/>
                <w:szCs w:val="24"/>
              </w:rPr>
              <w:t>3.7 km</w:t>
            </w:r>
          </w:p>
          <w:p w:rsidR="003D0798" w:rsidRDefault="003D0798" w:rsidP="003D0798">
            <w:pPr>
              <w:rPr>
                <w:rFonts w:ascii="Times New Roman" w:hAnsi="Times New Roman" w:cs="Times New Roman"/>
                <w:sz w:val="24"/>
                <w:szCs w:val="24"/>
              </w:rPr>
            </w:pPr>
            <w:r>
              <w:rPr>
                <w:rFonts w:ascii="Times New Roman" w:hAnsi="Times New Roman" w:cs="Times New Roman"/>
                <w:sz w:val="24"/>
                <w:szCs w:val="24"/>
              </w:rPr>
              <w:t>296 km</w:t>
            </w:r>
            <w:r w:rsidRPr="003D0798">
              <w:rPr>
                <w:rFonts w:ascii="Times New Roman" w:hAnsi="Times New Roman" w:cs="Times New Roman"/>
                <w:sz w:val="24"/>
                <w:szCs w:val="24"/>
                <w:vertAlign w:val="superscript"/>
              </w:rPr>
              <w:t>2</w:t>
            </w:r>
          </w:p>
        </w:tc>
      </w:tr>
      <w:tr w:rsidR="007D4DA3" w:rsidTr="003D0798">
        <w:tc>
          <w:tcPr>
            <w:tcW w:w="1337" w:type="dxa"/>
            <w:vAlign w:val="center"/>
          </w:tcPr>
          <w:p w:rsidR="007D4DA3" w:rsidRDefault="00A21F50" w:rsidP="00A21F50">
            <w:pPr>
              <w:jc w:val="center"/>
              <w:rPr>
                <w:rFonts w:ascii="Times New Roman" w:hAnsi="Times New Roman" w:cs="Times New Roman"/>
                <w:sz w:val="24"/>
                <w:szCs w:val="24"/>
              </w:rPr>
            </w:pPr>
            <w:r>
              <w:rPr>
                <w:rFonts w:ascii="Times New Roman" w:hAnsi="Times New Roman" w:cs="Times New Roman"/>
                <w:sz w:val="24"/>
                <w:szCs w:val="24"/>
              </w:rPr>
              <w:t>2</w:t>
            </w:r>
          </w:p>
        </w:tc>
        <w:tc>
          <w:tcPr>
            <w:tcW w:w="1352" w:type="dxa"/>
            <w:vAlign w:val="center"/>
          </w:tcPr>
          <w:p w:rsidR="007D4DA3" w:rsidRDefault="00A21F50" w:rsidP="00A21F50">
            <w:pPr>
              <w:rPr>
                <w:rFonts w:ascii="Times New Roman" w:hAnsi="Times New Roman" w:cs="Times New Roman"/>
                <w:sz w:val="24"/>
                <w:szCs w:val="24"/>
              </w:rPr>
            </w:pPr>
            <w:r>
              <w:rPr>
                <w:rFonts w:ascii="Times New Roman" w:hAnsi="Times New Roman" w:cs="Times New Roman"/>
                <w:sz w:val="24"/>
                <w:szCs w:val="24"/>
              </w:rPr>
              <w:t>55.8%</w:t>
            </w:r>
          </w:p>
          <w:p w:rsidR="00A21F50" w:rsidRDefault="00A21F50" w:rsidP="00A21F50">
            <w:pPr>
              <w:rPr>
                <w:rFonts w:ascii="Times New Roman" w:hAnsi="Times New Roman" w:cs="Times New Roman"/>
                <w:sz w:val="24"/>
                <w:szCs w:val="24"/>
              </w:rPr>
            </w:pPr>
            <w:r>
              <w:rPr>
                <w:rFonts w:ascii="Times New Roman" w:hAnsi="Times New Roman" w:cs="Times New Roman"/>
                <w:sz w:val="24"/>
                <w:szCs w:val="24"/>
              </w:rPr>
              <w:t>44.2%</w:t>
            </w:r>
          </w:p>
          <w:p w:rsidR="00A21F50" w:rsidRDefault="00A21F50" w:rsidP="00A21F50">
            <w:pPr>
              <w:rPr>
                <w:rFonts w:ascii="Times New Roman" w:hAnsi="Times New Roman" w:cs="Times New Roman"/>
                <w:sz w:val="24"/>
                <w:szCs w:val="24"/>
              </w:rPr>
            </w:pPr>
            <w:r>
              <w:rPr>
                <w:rFonts w:ascii="Times New Roman" w:hAnsi="Times New Roman" w:cs="Times New Roman"/>
                <w:sz w:val="24"/>
                <w:szCs w:val="24"/>
              </w:rPr>
              <w:t>0.0%</w:t>
            </w:r>
          </w:p>
        </w:tc>
        <w:tc>
          <w:tcPr>
            <w:tcW w:w="1559" w:type="dxa"/>
          </w:tcPr>
          <w:p w:rsidR="007D4DA3" w:rsidRDefault="00C45E3C" w:rsidP="00A3096F">
            <w:pPr>
              <w:rPr>
                <w:rFonts w:ascii="Times New Roman" w:hAnsi="Times New Roman" w:cs="Times New Roman"/>
                <w:sz w:val="24"/>
                <w:szCs w:val="24"/>
              </w:rPr>
            </w:pPr>
            <w:r>
              <w:rPr>
                <w:rFonts w:ascii="Times New Roman" w:hAnsi="Times New Roman" w:cs="Times New Roman"/>
                <w:sz w:val="24"/>
                <w:szCs w:val="24"/>
              </w:rPr>
              <w:t>4.7%</w:t>
            </w:r>
          </w:p>
          <w:p w:rsidR="00C45E3C" w:rsidRDefault="00C45E3C" w:rsidP="00A3096F">
            <w:pPr>
              <w:rPr>
                <w:rFonts w:ascii="Times New Roman" w:hAnsi="Times New Roman" w:cs="Times New Roman"/>
                <w:sz w:val="24"/>
                <w:szCs w:val="24"/>
              </w:rPr>
            </w:pPr>
            <w:r>
              <w:rPr>
                <w:rFonts w:ascii="Times New Roman" w:hAnsi="Times New Roman" w:cs="Times New Roman"/>
                <w:sz w:val="24"/>
                <w:szCs w:val="24"/>
              </w:rPr>
              <w:t>0.0%</w:t>
            </w:r>
          </w:p>
          <w:p w:rsidR="00C45E3C" w:rsidRDefault="00C45E3C" w:rsidP="00A3096F">
            <w:pPr>
              <w:rPr>
                <w:rFonts w:ascii="Times New Roman" w:hAnsi="Times New Roman" w:cs="Times New Roman"/>
                <w:sz w:val="24"/>
                <w:szCs w:val="24"/>
              </w:rPr>
            </w:pPr>
            <w:r>
              <w:rPr>
                <w:rFonts w:ascii="Times New Roman" w:hAnsi="Times New Roman" w:cs="Times New Roman"/>
                <w:sz w:val="24"/>
                <w:szCs w:val="24"/>
              </w:rPr>
              <w:t>0.0%</w:t>
            </w:r>
          </w:p>
          <w:p w:rsidR="00C45E3C" w:rsidRDefault="00C45E3C" w:rsidP="00A3096F">
            <w:pPr>
              <w:rPr>
                <w:rFonts w:ascii="Times New Roman" w:hAnsi="Times New Roman" w:cs="Times New Roman"/>
                <w:sz w:val="24"/>
                <w:szCs w:val="24"/>
              </w:rPr>
            </w:pPr>
            <w:r>
              <w:rPr>
                <w:rFonts w:ascii="Times New Roman" w:hAnsi="Times New Roman" w:cs="Times New Roman"/>
                <w:sz w:val="24"/>
                <w:szCs w:val="24"/>
              </w:rPr>
              <w:t>95.3%</w:t>
            </w:r>
          </w:p>
        </w:tc>
        <w:tc>
          <w:tcPr>
            <w:tcW w:w="1417" w:type="dxa"/>
          </w:tcPr>
          <w:p w:rsidR="007D4DA3" w:rsidRDefault="00383E14" w:rsidP="00A3096F">
            <w:pPr>
              <w:rPr>
                <w:rFonts w:ascii="Times New Roman" w:hAnsi="Times New Roman" w:cs="Times New Roman"/>
                <w:sz w:val="24"/>
                <w:szCs w:val="24"/>
              </w:rPr>
            </w:pPr>
            <w:r>
              <w:rPr>
                <w:rFonts w:ascii="Times New Roman" w:hAnsi="Times New Roman" w:cs="Times New Roman"/>
                <w:sz w:val="24"/>
                <w:szCs w:val="24"/>
              </w:rPr>
              <w:t>2.4%</w:t>
            </w:r>
          </w:p>
          <w:p w:rsidR="00383E14" w:rsidRDefault="00383E14" w:rsidP="00A3096F">
            <w:pPr>
              <w:rPr>
                <w:rFonts w:ascii="Times New Roman" w:hAnsi="Times New Roman" w:cs="Times New Roman"/>
                <w:sz w:val="24"/>
                <w:szCs w:val="24"/>
              </w:rPr>
            </w:pPr>
            <w:r>
              <w:rPr>
                <w:rFonts w:ascii="Times New Roman" w:hAnsi="Times New Roman" w:cs="Times New Roman"/>
                <w:sz w:val="24"/>
                <w:szCs w:val="24"/>
              </w:rPr>
              <w:t>41.9%</w:t>
            </w:r>
          </w:p>
          <w:p w:rsidR="00383E14" w:rsidRDefault="00383E14" w:rsidP="00A3096F">
            <w:pPr>
              <w:rPr>
                <w:rFonts w:ascii="Times New Roman" w:hAnsi="Times New Roman" w:cs="Times New Roman"/>
                <w:sz w:val="24"/>
                <w:szCs w:val="24"/>
              </w:rPr>
            </w:pPr>
            <w:r>
              <w:rPr>
                <w:rFonts w:ascii="Times New Roman" w:hAnsi="Times New Roman" w:cs="Times New Roman"/>
                <w:sz w:val="24"/>
                <w:szCs w:val="24"/>
              </w:rPr>
              <w:t>11.6%</w:t>
            </w:r>
          </w:p>
          <w:p w:rsidR="00383E14" w:rsidRDefault="00383E14" w:rsidP="00A3096F">
            <w:pPr>
              <w:rPr>
                <w:rFonts w:ascii="Times New Roman" w:hAnsi="Times New Roman" w:cs="Times New Roman"/>
                <w:sz w:val="24"/>
                <w:szCs w:val="24"/>
              </w:rPr>
            </w:pPr>
            <w:r>
              <w:rPr>
                <w:rFonts w:ascii="Times New Roman" w:hAnsi="Times New Roman" w:cs="Times New Roman"/>
                <w:sz w:val="24"/>
                <w:szCs w:val="24"/>
              </w:rPr>
              <w:t>0.0%</w:t>
            </w:r>
          </w:p>
        </w:tc>
        <w:tc>
          <w:tcPr>
            <w:tcW w:w="1843" w:type="dxa"/>
          </w:tcPr>
          <w:p w:rsidR="007D4DA3" w:rsidRDefault="00383E14" w:rsidP="00A3096F">
            <w:pPr>
              <w:rPr>
                <w:rFonts w:ascii="Times New Roman" w:hAnsi="Times New Roman" w:cs="Times New Roman"/>
                <w:sz w:val="24"/>
                <w:szCs w:val="24"/>
              </w:rPr>
            </w:pPr>
            <w:r>
              <w:rPr>
                <w:rFonts w:ascii="Times New Roman" w:hAnsi="Times New Roman" w:cs="Times New Roman"/>
                <w:sz w:val="24"/>
                <w:szCs w:val="24"/>
              </w:rPr>
              <w:t>44.2%</w:t>
            </w:r>
          </w:p>
          <w:p w:rsidR="00383E14" w:rsidRDefault="00383E14" w:rsidP="00A3096F">
            <w:pPr>
              <w:rPr>
                <w:rFonts w:ascii="Times New Roman" w:hAnsi="Times New Roman" w:cs="Times New Roman"/>
                <w:sz w:val="24"/>
                <w:szCs w:val="24"/>
              </w:rPr>
            </w:pPr>
            <w:r>
              <w:rPr>
                <w:rFonts w:ascii="Times New Roman" w:hAnsi="Times New Roman" w:cs="Times New Roman"/>
                <w:sz w:val="24"/>
                <w:szCs w:val="24"/>
              </w:rPr>
              <w:t>27.9%</w:t>
            </w:r>
          </w:p>
          <w:p w:rsidR="00383E14" w:rsidRDefault="00383E14" w:rsidP="00A3096F">
            <w:pPr>
              <w:rPr>
                <w:rFonts w:ascii="Times New Roman" w:hAnsi="Times New Roman" w:cs="Times New Roman"/>
                <w:sz w:val="24"/>
                <w:szCs w:val="24"/>
              </w:rPr>
            </w:pPr>
            <w:r>
              <w:rPr>
                <w:rFonts w:ascii="Times New Roman" w:hAnsi="Times New Roman" w:cs="Times New Roman"/>
                <w:sz w:val="24"/>
                <w:szCs w:val="24"/>
              </w:rPr>
              <w:t>18.6%</w:t>
            </w:r>
          </w:p>
          <w:p w:rsidR="00383E14" w:rsidRDefault="00383E14" w:rsidP="00A3096F">
            <w:pPr>
              <w:rPr>
                <w:rFonts w:ascii="Times New Roman" w:hAnsi="Times New Roman" w:cs="Times New Roman"/>
                <w:sz w:val="24"/>
                <w:szCs w:val="24"/>
              </w:rPr>
            </w:pPr>
            <w:r>
              <w:rPr>
                <w:rFonts w:ascii="Times New Roman" w:hAnsi="Times New Roman" w:cs="Times New Roman"/>
                <w:sz w:val="24"/>
                <w:szCs w:val="24"/>
              </w:rPr>
              <w:t>9.3%</w:t>
            </w:r>
          </w:p>
        </w:tc>
        <w:tc>
          <w:tcPr>
            <w:tcW w:w="1418" w:type="dxa"/>
            <w:vAlign w:val="center"/>
          </w:tcPr>
          <w:p w:rsidR="007D4DA3" w:rsidRDefault="003D0798" w:rsidP="003D0798">
            <w:pPr>
              <w:rPr>
                <w:rFonts w:ascii="Times New Roman" w:hAnsi="Times New Roman" w:cs="Times New Roman"/>
                <w:sz w:val="24"/>
                <w:szCs w:val="24"/>
              </w:rPr>
            </w:pPr>
            <w:r>
              <w:rPr>
                <w:rFonts w:ascii="Times New Roman" w:hAnsi="Times New Roman" w:cs="Times New Roman"/>
                <w:sz w:val="24"/>
                <w:szCs w:val="24"/>
              </w:rPr>
              <w:t>2.4 km</w:t>
            </w:r>
          </w:p>
          <w:p w:rsidR="003D0798" w:rsidRDefault="003D0798" w:rsidP="003D0798">
            <w:pPr>
              <w:rPr>
                <w:rFonts w:ascii="Times New Roman" w:hAnsi="Times New Roman" w:cs="Times New Roman"/>
                <w:sz w:val="24"/>
                <w:szCs w:val="24"/>
              </w:rPr>
            </w:pPr>
            <w:r>
              <w:rPr>
                <w:rFonts w:ascii="Times New Roman" w:hAnsi="Times New Roman" w:cs="Times New Roman"/>
                <w:sz w:val="24"/>
                <w:szCs w:val="24"/>
              </w:rPr>
              <w:t>46 km</w:t>
            </w:r>
            <w:r w:rsidRPr="003D0798">
              <w:rPr>
                <w:rFonts w:ascii="Times New Roman" w:hAnsi="Times New Roman" w:cs="Times New Roman"/>
                <w:sz w:val="24"/>
                <w:szCs w:val="24"/>
                <w:vertAlign w:val="superscript"/>
              </w:rPr>
              <w:t>2</w:t>
            </w:r>
          </w:p>
        </w:tc>
      </w:tr>
      <w:tr w:rsidR="00A21F50" w:rsidTr="003D0798">
        <w:tc>
          <w:tcPr>
            <w:tcW w:w="1337" w:type="dxa"/>
            <w:vAlign w:val="center"/>
          </w:tcPr>
          <w:p w:rsidR="00A21F50" w:rsidRDefault="00A21F50" w:rsidP="00A21F50">
            <w:pPr>
              <w:jc w:val="center"/>
              <w:rPr>
                <w:rFonts w:ascii="Times New Roman" w:hAnsi="Times New Roman" w:cs="Times New Roman"/>
                <w:sz w:val="24"/>
                <w:szCs w:val="24"/>
              </w:rPr>
            </w:pPr>
            <w:r>
              <w:rPr>
                <w:rFonts w:ascii="Times New Roman" w:hAnsi="Times New Roman" w:cs="Times New Roman"/>
                <w:sz w:val="24"/>
                <w:szCs w:val="24"/>
              </w:rPr>
              <w:t>3</w:t>
            </w:r>
          </w:p>
        </w:tc>
        <w:tc>
          <w:tcPr>
            <w:tcW w:w="1352" w:type="dxa"/>
            <w:vAlign w:val="center"/>
          </w:tcPr>
          <w:p w:rsidR="00A21F50" w:rsidRDefault="00A21F50" w:rsidP="00A21F50">
            <w:pPr>
              <w:rPr>
                <w:rFonts w:ascii="Times New Roman" w:hAnsi="Times New Roman" w:cs="Times New Roman"/>
                <w:sz w:val="24"/>
                <w:szCs w:val="24"/>
              </w:rPr>
            </w:pPr>
            <w:r>
              <w:rPr>
                <w:rFonts w:ascii="Times New Roman" w:hAnsi="Times New Roman" w:cs="Times New Roman"/>
                <w:sz w:val="24"/>
                <w:szCs w:val="24"/>
              </w:rPr>
              <w:t>46.9%</w:t>
            </w:r>
          </w:p>
          <w:p w:rsidR="00A21F50" w:rsidRDefault="00A21F50" w:rsidP="00A21F50">
            <w:pPr>
              <w:rPr>
                <w:rFonts w:ascii="Times New Roman" w:hAnsi="Times New Roman" w:cs="Times New Roman"/>
                <w:sz w:val="24"/>
                <w:szCs w:val="24"/>
              </w:rPr>
            </w:pPr>
            <w:r>
              <w:rPr>
                <w:rFonts w:ascii="Times New Roman" w:hAnsi="Times New Roman" w:cs="Times New Roman"/>
                <w:sz w:val="24"/>
                <w:szCs w:val="24"/>
              </w:rPr>
              <w:t>50.0%</w:t>
            </w:r>
          </w:p>
          <w:p w:rsidR="00A21F50" w:rsidRDefault="00A21F50" w:rsidP="00A21F50">
            <w:pPr>
              <w:rPr>
                <w:rFonts w:ascii="Times New Roman" w:hAnsi="Times New Roman" w:cs="Times New Roman"/>
                <w:sz w:val="24"/>
                <w:szCs w:val="24"/>
              </w:rPr>
            </w:pPr>
            <w:r>
              <w:rPr>
                <w:rFonts w:ascii="Times New Roman" w:hAnsi="Times New Roman" w:cs="Times New Roman"/>
                <w:sz w:val="24"/>
                <w:szCs w:val="24"/>
              </w:rPr>
              <w:t>3.1%</w:t>
            </w:r>
          </w:p>
        </w:tc>
        <w:tc>
          <w:tcPr>
            <w:tcW w:w="1559" w:type="dxa"/>
          </w:tcPr>
          <w:p w:rsidR="00A21F50" w:rsidRDefault="00C45E3C" w:rsidP="00A3096F">
            <w:pPr>
              <w:rPr>
                <w:rFonts w:ascii="Times New Roman" w:hAnsi="Times New Roman" w:cs="Times New Roman"/>
                <w:sz w:val="24"/>
                <w:szCs w:val="24"/>
              </w:rPr>
            </w:pPr>
            <w:r>
              <w:rPr>
                <w:rFonts w:ascii="Times New Roman" w:hAnsi="Times New Roman" w:cs="Times New Roman"/>
                <w:sz w:val="24"/>
                <w:szCs w:val="24"/>
              </w:rPr>
              <w:t>15.6%</w:t>
            </w:r>
          </w:p>
          <w:p w:rsidR="00C45E3C" w:rsidRDefault="00C45E3C" w:rsidP="00A3096F">
            <w:pPr>
              <w:rPr>
                <w:rFonts w:ascii="Times New Roman" w:hAnsi="Times New Roman" w:cs="Times New Roman"/>
                <w:sz w:val="24"/>
                <w:szCs w:val="24"/>
              </w:rPr>
            </w:pPr>
            <w:r>
              <w:rPr>
                <w:rFonts w:ascii="Times New Roman" w:hAnsi="Times New Roman" w:cs="Times New Roman"/>
                <w:sz w:val="24"/>
                <w:szCs w:val="24"/>
              </w:rPr>
              <w:t>0.0%</w:t>
            </w:r>
          </w:p>
          <w:p w:rsidR="00C45E3C" w:rsidRDefault="00C45E3C" w:rsidP="00A3096F">
            <w:pPr>
              <w:rPr>
                <w:rFonts w:ascii="Times New Roman" w:hAnsi="Times New Roman" w:cs="Times New Roman"/>
                <w:sz w:val="24"/>
                <w:szCs w:val="24"/>
              </w:rPr>
            </w:pPr>
            <w:r>
              <w:rPr>
                <w:rFonts w:ascii="Times New Roman" w:hAnsi="Times New Roman" w:cs="Times New Roman"/>
                <w:sz w:val="24"/>
                <w:szCs w:val="24"/>
              </w:rPr>
              <w:t>0.0%</w:t>
            </w:r>
          </w:p>
          <w:p w:rsidR="00C45E3C" w:rsidRDefault="00C45E3C" w:rsidP="00A3096F">
            <w:pPr>
              <w:rPr>
                <w:rFonts w:ascii="Times New Roman" w:hAnsi="Times New Roman" w:cs="Times New Roman"/>
                <w:sz w:val="24"/>
                <w:szCs w:val="24"/>
              </w:rPr>
            </w:pPr>
            <w:r>
              <w:rPr>
                <w:rFonts w:ascii="Times New Roman" w:hAnsi="Times New Roman" w:cs="Times New Roman"/>
                <w:sz w:val="24"/>
                <w:szCs w:val="24"/>
              </w:rPr>
              <w:t>84.4%</w:t>
            </w:r>
          </w:p>
        </w:tc>
        <w:tc>
          <w:tcPr>
            <w:tcW w:w="1417" w:type="dxa"/>
          </w:tcPr>
          <w:p w:rsidR="00A21F50" w:rsidRDefault="00383E14" w:rsidP="00A3096F">
            <w:pPr>
              <w:rPr>
                <w:rFonts w:ascii="Times New Roman" w:hAnsi="Times New Roman" w:cs="Times New Roman"/>
                <w:sz w:val="24"/>
                <w:szCs w:val="24"/>
              </w:rPr>
            </w:pPr>
            <w:r>
              <w:rPr>
                <w:rFonts w:ascii="Times New Roman" w:hAnsi="Times New Roman" w:cs="Times New Roman"/>
                <w:sz w:val="24"/>
                <w:szCs w:val="24"/>
              </w:rPr>
              <w:t>3.1%</w:t>
            </w:r>
          </w:p>
          <w:p w:rsidR="00383E14" w:rsidRDefault="00383E14" w:rsidP="00A3096F">
            <w:pPr>
              <w:rPr>
                <w:rFonts w:ascii="Times New Roman" w:hAnsi="Times New Roman" w:cs="Times New Roman"/>
                <w:sz w:val="24"/>
                <w:szCs w:val="24"/>
              </w:rPr>
            </w:pPr>
            <w:r>
              <w:rPr>
                <w:rFonts w:ascii="Times New Roman" w:hAnsi="Times New Roman" w:cs="Times New Roman"/>
                <w:sz w:val="24"/>
                <w:szCs w:val="24"/>
              </w:rPr>
              <w:t>28.1%</w:t>
            </w:r>
          </w:p>
          <w:p w:rsidR="00383E14" w:rsidRDefault="00383E14" w:rsidP="00A3096F">
            <w:pPr>
              <w:rPr>
                <w:rFonts w:ascii="Times New Roman" w:hAnsi="Times New Roman" w:cs="Times New Roman"/>
                <w:sz w:val="24"/>
                <w:szCs w:val="24"/>
              </w:rPr>
            </w:pPr>
            <w:r>
              <w:rPr>
                <w:rFonts w:ascii="Times New Roman" w:hAnsi="Times New Roman" w:cs="Times New Roman"/>
                <w:sz w:val="24"/>
                <w:szCs w:val="24"/>
              </w:rPr>
              <w:t>3.1%</w:t>
            </w:r>
          </w:p>
          <w:p w:rsidR="00383E14" w:rsidRDefault="00383E14" w:rsidP="00A3096F">
            <w:pPr>
              <w:rPr>
                <w:rFonts w:ascii="Times New Roman" w:hAnsi="Times New Roman" w:cs="Times New Roman"/>
                <w:sz w:val="24"/>
                <w:szCs w:val="24"/>
              </w:rPr>
            </w:pPr>
            <w:r>
              <w:rPr>
                <w:rFonts w:ascii="Times New Roman" w:hAnsi="Times New Roman" w:cs="Times New Roman"/>
                <w:sz w:val="24"/>
                <w:szCs w:val="24"/>
              </w:rPr>
              <w:t>3.1%</w:t>
            </w:r>
          </w:p>
        </w:tc>
        <w:tc>
          <w:tcPr>
            <w:tcW w:w="1843" w:type="dxa"/>
          </w:tcPr>
          <w:p w:rsidR="00A21F50" w:rsidRDefault="00383E14" w:rsidP="00A3096F">
            <w:pPr>
              <w:rPr>
                <w:rFonts w:ascii="Times New Roman" w:hAnsi="Times New Roman" w:cs="Times New Roman"/>
                <w:sz w:val="24"/>
                <w:szCs w:val="24"/>
              </w:rPr>
            </w:pPr>
            <w:r>
              <w:rPr>
                <w:rFonts w:ascii="Times New Roman" w:hAnsi="Times New Roman" w:cs="Times New Roman"/>
                <w:sz w:val="24"/>
                <w:szCs w:val="24"/>
              </w:rPr>
              <w:t>56.3%</w:t>
            </w:r>
          </w:p>
          <w:p w:rsidR="00383E14" w:rsidRDefault="00383E14" w:rsidP="00A3096F">
            <w:pPr>
              <w:rPr>
                <w:rFonts w:ascii="Times New Roman" w:hAnsi="Times New Roman" w:cs="Times New Roman"/>
                <w:sz w:val="24"/>
                <w:szCs w:val="24"/>
              </w:rPr>
            </w:pPr>
            <w:r>
              <w:rPr>
                <w:rFonts w:ascii="Times New Roman" w:hAnsi="Times New Roman" w:cs="Times New Roman"/>
                <w:sz w:val="24"/>
                <w:szCs w:val="24"/>
              </w:rPr>
              <w:t>28.1%</w:t>
            </w:r>
          </w:p>
          <w:p w:rsidR="00383E14" w:rsidRDefault="00383E14" w:rsidP="00A3096F">
            <w:pPr>
              <w:rPr>
                <w:rFonts w:ascii="Times New Roman" w:hAnsi="Times New Roman" w:cs="Times New Roman"/>
                <w:sz w:val="24"/>
                <w:szCs w:val="24"/>
              </w:rPr>
            </w:pPr>
            <w:r>
              <w:rPr>
                <w:rFonts w:ascii="Times New Roman" w:hAnsi="Times New Roman" w:cs="Times New Roman"/>
                <w:sz w:val="24"/>
                <w:szCs w:val="24"/>
              </w:rPr>
              <w:t>15.6%</w:t>
            </w:r>
          </w:p>
          <w:p w:rsidR="00383E14" w:rsidRDefault="00383E14" w:rsidP="00A3096F">
            <w:pPr>
              <w:rPr>
                <w:rFonts w:ascii="Times New Roman" w:hAnsi="Times New Roman" w:cs="Times New Roman"/>
                <w:sz w:val="24"/>
                <w:szCs w:val="24"/>
              </w:rPr>
            </w:pPr>
            <w:r>
              <w:rPr>
                <w:rFonts w:ascii="Times New Roman" w:hAnsi="Times New Roman" w:cs="Times New Roman"/>
                <w:sz w:val="24"/>
                <w:szCs w:val="24"/>
              </w:rPr>
              <w:t>0.0%</w:t>
            </w:r>
          </w:p>
        </w:tc>
        <w:tc>
          <w:tcPr>
            <w:tcW w:w="1418" w:type="dxa"/>
            <w:vAlign w:val="center"/>
          </w:tcPr>
          <w:p w:rsidR="00A21F50" w:rsidRDefault="003D0798" w:rsidP="003D0798">
            <w:pPr>
              <w:rPr>
                <w:rFonts w:ascii="Times New Roman" w:hAnsi="Times New Roman" w:cs="Times New Roman"/>
                <w:sz w:val="24"/>
                <w:szCs w:val="24"/>
              </w:rPr>
            </w:pPr>
            <w:r>
              <w:rPr>
                <w:rFonts w:ascii="Times New Roman" w:hAnsi="Times New Roman" w:cs="Times New Roman"/>
                <w:sz w:val="24"/>
                <w:szCs w:val="24"/>
              </w:rPr>
              <w:t>2.3 km</w:t>
            </w:r>
          </w:p>
          <w:p w:rsidR="003D0798" w:rsidRDefault="003D0798" w:rsidP="003D0798">
            <w:pPr>
              <w:rPr>
                <w:rFonts w:ascii="Times New Roman" w:hAnsi="Times New Roman" w:cs="Times New Roman"/>
                <w:sz w:val="24"/>
                <w:szCs w:val="24"/>
              </w:rPr>
            </w:pPr>
            <w:r>
              <w:rPr>
                <w:rFonts w:ascii="Times New Roman" w:hAnsi="Times New Roman" w:cs="Times New Roman"/>
                <w:sz w:val="24"/>
                <w:szCs w:val="24"/>
              </w:rPr>
              <w:t>51 km</w:t>
            </w:r>
            <w:r w:rsidRPr="003D0798">
              <w:rPr>
                <w:rFonts w:ascii="Times New Roman" w:hAnsi="Times New Roman" w:cs="Times New Roman"/>
                <w:sz w:val="24"/>
                <w:szCs w:val="24"/>
                <w:vertAlign w:val="superscript"/>
              </w:rPr>
              <w:t>2</w:t>
            </w:r>
          </w:p>
        </w:tc>
      </w:tr>
      <w:tr w:rsidR="00A21F50" w:rsidTr="003D0798">
        <w:tc>
          <w:tcPr>
            <w:tcW w:w="1337" w:type="dxa"/>
            <w:vAlign w:val="center"/>
          </w:tcPr>
          <w:p w:rsidR="00A21F50" w:rsidRDefault="00A21F50" w:rsidP="00A21F50">
            <w:pPr>
              <w:jc w:val="center"/>
              <w:rPr>
                <w:rFonts w:ascii="Times New Roman" w:hAnsi="Times New Roman" w:cs="Times New Roman"/>
                <w:sz w:val="24"/>
                <w:szCs w:val="24"/>
              </w:rPr>
            </w:pPr>
            <w:r>
              <w:rPr>
                <w:rFonts w:ascii="Times New Roman" w:hAnsi="Times New Roman" w:cs="Times New Roman"/>
                <w:sz w:val="24"/>
                <w:szCs w:val="24"/>
              </w:rPr>
              <w:t>7</w:t>
            </w:r>
          </w:p>
        </w:tc>
        <w:tc>
          <w:tcPr>
            <w:tcW w:w="1352" w:type="dxa"/>
            <w:vAlign w:val="center"/>
          </w:tcPr>
          <w:p w:rsidR="00A21F50" w:rsidRDefault="00A21F50" w:rsidP="00A21F50">
            <w:pPr>
              <w:rPr>
                <w:rFonts w:ascii="Times New Roman" w:hAnsi="Times New Roman" w:cs="Times New Roman"/>
                <w:sz w:val="24"/>
                <w:szCs w:val="24"/>
              </w:rPr>
            </w:pPr>
            <w:r>
              <w:rPr>
                <w:rFonts w:ascii="Times New Roman" w:hAnsi="Times New Roman" w:cs="Times New Roman"/>
                <w:sz w:val="24"/>
                <w:szCs w:val="24"/>
              </w:rPr>
              <w:t>61.9%</w:t>
            </w:r>
          </w:p>
          <w:p w:rsidR="00A21F50" w:rsidRDefault="00A21F50" w:rsidP="00A21F50">
            <w:pPr>
              <w:rPr>
                <w:rFonts w:ascii="Times New Roman" w:hAnsi="Times New Roman" w:cs="Times New Roman"/>
                <w:sz w:val="24"/>
                <w:szCs w:val="24"/>
              </w:rPr>
            </w:pPr>
            <w:r>
              <w:rPr>
                <w:rFonts w:ascii="Times New Roman" w:hAnsi="Times New Roman" w:cs="Times New Roman"/>
                <w:sz w:val="24"/>
                <w:szCs w:val="24"/>
              </w:rPr>
              <w:t>38.1%</w:t>
            </w:r>
          </w:p>
          <w:p w:rsidR="00A21F50" w:rsidRDefault="00A21F50" w:rsidP="00A21F50">
            <w:pPr>
              <w:rPr>
                <w:rFonts w:ascii="Times New Roman" w:hAnsi="Times New Roman" w:cs="Times New Roman"/>
                <w:sz w:val="24"/>
                <w:szCs w:val="24"/>
              </w:rPr>
            </w:pPr>
            <w:r>
              <w:rPr>
                <w:rFonts w:ascii="Times New Roman" w:hAnsi="Times New Roman" w:cs="Times New Roman"/>
                <w:sz w:val="24"/>
                <w:szCs w:val="24"/>
              </w:rPr>
              <w:t>0.0%</w:t>
            </w:r>
          </w:p>
        </w:tc>
        <w:tc>
          <w:tcPr>
            <w:tcW w:w="1559" w:type="dxa"/>
          </w:tcPr>
          <w:p w:rsidR="00A21F50" w:rsidRDefault="00C45E3C" w:rsidP="00A3096F">
            <w:pPr>
              <w:rPr>
                <w:rFonts w:ascii="Times New Roman" w:hAnsi="Times New Roman" w:cs="Times New Roman"/>
                <w:sz w:val="24"/>
                <w:szCs w:val="24"/>
              </w:rPr>
            </w:pPr>
            <w:r>
              <w:rPr>
                <w:rFonts w:ascii="Times New Roman" w:hAnsi="Times New Roman" w:cs="Times New Roman"/>
                <w:sz w:val="24"/>
                <w:szCs w:val="24"/>
              </w:rPr>
              <w:t>0.0%</w:t>
            </w:r>
          </w:p>
          <w:p w:rsidR="00C45E3C" w:rsidRDefault="00C45E3C" w:rsidP="00A3096F">
            <w:pPr>
              <w:rPr>
                <w:rFonts w:ascii="Times New Roman" w:hAnsi="Times New Roman" w:cs="Times New Roman"/>
                <w:sz w:val="24"/>
                <w:szCs w:val="24"/>
              </w:rPr>
            </w:pPr>
            <w:r>
              <w:rPr>
                <w:rFonts w:ascii="Times New Roman" w:hAnsi="Times New Roman" w:cs="Times New Roman"/>
                <w:sz w:val="24"/>
                <w:szCs w:val="24"/>
              </w:rPr>
              <w:t>0.0%</w:t>
            </w:r>
          </w:p>
          <w:p w:rsidR="00C45E3C" w:rsidRDefault="00C45E3C" w:rsidP="00A3096F">
            <w:pPr>
              <w:rPr>
                <w:rFonts w:ascii="Times New Roman" w:hAnsi="Times New Roman" w:cs="Times New Roman"/>
                <w:sz w:val="24"/>
                <w:szCs w:val="24"/>
              </w:rPr>
            </w:pPr>
            <w:r>
              <w:rPr>
                <w:rFonts w:ascii="Times New Roman" w:hAnsi="Times New Roman" w:cs="Times New Roman"/>
                <w:sz w:val="24"/>
                <w:szCs w:val="24"/>
              </w:rPr>
              <w:t>0.0%</w:t>
            </w:r>
          </w:p>
          <w:p w:rsidR="00C45E3C" w:rsidRDefault="00C45E3C" w:rsidP="00A3096F">
            <w:pP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A21F50" w:rsidRDefault="00383E14" w:rsidP="00A3096F">
            <w:pPr>
              <w:rPr>
                <w:rFonts w:ascii="Times New Roman" w:hAnsi="Times New Roman" w:cs="Times New Roman"/>
                <w:sz w:val="24"/>
                <w:szCs w:val="24"/>
              </w:rPr>
            </w:pPr>
            <w:r>
              <w:rPr>
                <w:rFonts w:ascii="Times New Roman" w:hAnsi="Times New Roman" w:cs="Times New Roman"/>
                <w:sz w:val="24"/>
                <w:szCs w:val="24"/>
              </w:rPr>
              <w:t>0.0%</w:t>
            </w:r>
          </w:p>
          <w:p w:rsidR="00383E14" w:rsidRDefault="00383E14" w:rsidP="00A3096F">
            <w:pPr>
              <w:rPr>
                <w:rFonts w:ascii="Times New Roman" w:hAnsi="Times New Roman" w:cs="Times New Roman"/>
                <w:sz w:val="24"/>
                <w:szCs w:val="24"/>
              </w:rPr>
            </w:pPr>
            <w:r>
              <w:rPr>
                <w:rFonts w:ascii="Times New Roman" w:hAnsi="Times New Roman" w:cs="Times New Roman"/>
                <w:sz w:val="24"/>
                <w:szCs w:val="24"/>
              </w:rPr>
              <w:t>9.5%</w:t>
            </w:r>
          </w:p>
          <w:p w:rsidR="00383E14" w:rsidRDefault="00383E14" w:rsidP="00A3096F">
            <w:pPr>
              <w:rPr>
                <w:rFonts w:ascii="Times New Roman" w:hAnsi="Times New Roman" w:cs="Times New Roman"/>
                <w:sz w:val="24"/>
                <w:szCs w:val="24"/>
              </w:rPr>
            </w:pPr>
            <w:r>
              <w:rPr>
                <w:rFonts w:ascii="Times New Roman" w:hAnsi="Times New Roman" w:cs="Times New Roman"/>
                <w:sz w:val="24"/>
                <w:szCs w:val="24"/>
              </w:rPr>
              <w:t>9.5%</w:t>
            </w:r>
          </w:p>
          <w:p w:rsidR="00383E14" w:rsidRDefault="00383E14" w:rsidP="00A3096F">
            <w:pPr>
              <w:rPr>
                <w:rFonts w:ascii="Times New Roman" w:hAnsi="Times New Roman" w:cs="Times New Roman"/>
                <w:sz w:val="24"/>
                <w:szCs w:val="24"/>
              </w:rPr>
            </w:pPr>
            <w:r>
              <w:rPr>
                <w:rFonts w:ascii="Times New Roman" w:hAnsi="Times New Roman" w:cs="Times New Roman"/>
                <w:sz w:val="24"/>
                <w:szCs w:val="24"/>
              </w:rPr>
              <w:t>0.0%</w:t>
            </w:r>
          </w:p>
        </w:tc>
        <w:tc>
          <w:tcPr>
            <w:tcW w:w="1843" w:type="dxa"/>
          </w:tcPr>
          <w:p w:rsidR="00A21F50" w:rsidRDefault="00383E14" w:rsidP="00A3096F">
            <w:pPr>
              <w:rPr>
                <w:rFonts w:ascii="Times New Roman" w:hAnsi="Times New Roman" w:cs="Times New Roman"/>
                <w:sz w:val="24"/>
                <w:szCs w:val="24"/>
              </w:rPr>
            </w:pPr>
            <w:r>
              <w:rPr>
                <w:rFonts w:ascii="Times New Roman" w:hAnsi="Times New Roman" w:cs="Times New Roman"/>
                <w:sz w:val="24"/>
                <w:szCs w:val="24"/>
              </w:rPr>
              <w:t>23.8%</w:t>
            </w:r>
          </w:p>
          <w:p w:rsidR="00383E14" w:rsidRDefault="00383E14" w:rsidP="00A3096F">
            <w:pPr>
              <w:rPr>
                <w:rFonts w:ascii="Times New Roman" w:hAnsi="Times New Roman" w:cs="Times New Roman"/>
                <w:sz w:val="24"/>
                <w:szCs w:val="24"/>
              </w:rPr>
            </w:pPr>
            <w:r>
              <w:rPr>
                <w:rFonts w:ascii="Times New Roman" w:hAnsi="Times New Roman" w:cs="Times New Roman"/>
                <w:sz w:val="24"/>
                <w:szCs w:val="24"/>
              </w:rPr>
              <w:t>52.4%</w:t>
            </w:r>
          </w:p>
          <w:p w:rsidR="00383E14" w:rsidRDefault="00383E14" w:rsidP="00A3096F">
            <w:pPr>
              <w:rPr>
                <w:rFonts w:ascii="Times New Roman" w:hAnsi="Times New Roman" w:cs="Times New Roman"/>
                <w:sz w:val="24"/>
                <w:szCs w:val="24"/>
              </w:rPr>
            </w:pPr>
            <w:r>
              <w:rPr>
                <w:rFonts w:ascii="Times New Roman" w:hAnsi="Times New Roman" w:cs="Times New Roman"/>
                <w:sz w:val="24"/>
                <w:szCs w:val="24"/>
              </w:rPr>
              <w:t>9.5%</w:t>
            </w:r>
          </w:p>
          <w:p w:rsidR="00383E14" w:rsidRDefault="00383E14" w:rsidP="00A3096F">
            <w:pPr>
              <w:rPr>
                <w:rFonts w:ascii="Times New Roman" w:hAnsi="Times New Roman" w:cs="Times New Roman"/>
                <w:sz w:val="24"/>
                <w:szCs w:val="24"/>
              </w:rPr>
            </w:pPr>
            <w:r>
              <w:rPr>
                <w:rFonts w:ascii="Times New Roman" w:hAnsi="Times New Roman" w:cs="Times New Roman"/>
                <w:sz w:val="24"/>
                <w:szCs w:val="24"/>
              </w:rPr>
              <w:t>14.3%</w:t>
            </w:r>
          </w:p>
        </w:tc>
        <w:tc>
          <w:tcPr>
            <w:tcW w:w="1418" w:type="dxa"/>
            <w:vAlign w:val="center"/>
          </w:tcPr>
          <w:p w:rsidR="00A21F50" w:rsidRDefault="003D0798" w:rsidP="003D0798">
            <w:pPr>
              <w:rPr>
                <w:rFonts w:ascii="Times New Roman" w:hAnsi="Times New Roman" w:cs="Times New Roman"/>
                <w:sz w:val="24"/>
                <w:szCs w:val="24"/>
              </w:rPr>
            </w:pPr>
            <w:r>
              <w:rPr>
                <w:rFonts w:ascii="Times New Roman" w:hAnsi="Times New Roman" w:cs="Times New Roman"/>
                <w:sz w:val="24"/>
                <w:szCs w:val="24"/>
              </w:rPr>
              <w:t>3.2 km</w:t>
            </w:r>
          </w:p>
          <w:p w:rsidR="003D0798" w:rsidRDefault="003D0798" w:rsidP="003D0798">
            <w:pPr>
              <w:rPr>
                <w:rFonts w:ascii="Times New Roman" w:hAnsi="Times New Roman" w:cs="Times New Roman"/>
                <w:sz w:val="24"/>
                <w:szCs w:val="24"/>
              </w:rPr>
            </w:pPr>
            <w:r>
              <w:rPr>
                <w:rFonts w:ascii="Times New Roman" w:hAnsi="Times New Roman" w:cs="Times New Roman"/>
                <w:sz w:val="24"/>
                <w:szCs w:val="24"/>
              </w:rPr>
              <w:t>23 km</w:t>
            </w:r>
            <w:r w:rsidRPr="003D0798">
              <w:rPr>
                <w:rFonts w:ascii="Times New Roman" w:hAnsi="Times New Roman" w:cs="Times New Roman"/>
                <w:sz w:val="24"/>
                <w:szCs w:val="24"/>
                <w:vertAlign w:val="superscript"/>
              </w:rPr>
              <w:t>2</w:t>
            </w:r>
          </w:p>
        </w:tc>
      </w:tr>
      <w:tr w:rsidR="00A21F50" w:rsidTr="003D0798">
        <w:tc>
          <w:tcPr>
            <w:tcW w:w="1337" w:type="dxa"/>
            <w:vAlign w:val="center"/>
          </w:tcPr>
          <w:p w:rsidR="00A21F50" w:rsidRDefault="00A21F50" w:rsidP="00A21F50">
            <w:pPr>
              <w:jc w:val="center"/>
              <w:rPr>
                <w:rFonts w:ascii="Times New Roman" w:hAnsi="Times New Roman" w:cs="Times New Roman"/>
                <w:sz w:val="24"/>
                <w:szCs w:val="24"/>
              </w:rPr>
            </w:pPr>
            <w:r>
              <w:rPr>
                <w:rFonts w:ascii="Times New Roman" w:hAnsi="Times New Roman" w:cs="Times New Roman"/>
                <w:sz w:val="24"/>
                <w:szCs w:val="24"/>
              </w:rPr>
              <w:t>29</w:t>
            </w:r>
          </w:p>
        </w:tc>
        <w:tc>
          <w:tcPr>
            <w:tcW w:w="1352" w:type="dxa"/>
            <w:vAlign w:val="center"/>
          </w:tcPr>
          <w:p w:rsidR="00A21F50" w:rsidRDefault="00A21F50" w:rsidP="00A21F50">
            <w:pPr>
              <w:rPr>
                <w:rFonts w:ascii="Times New Roman" w:hAnsi="Times New Roman" w:cs="Times New Roman"/>
                <w:sz w:val="24"/>
                <w:szCs w:val="24"/>
              </w:rPr>
            </w:pPr>
            <w:r>
              <w:rPr>
                <w:rFonts w:ascii="Times New Roman" w:hAnsi="Times New Roman" w:cs="Times New Roman"/>
                <w:sz w:val="24"/>
                <w:szCs w:val="24"/>
              </w:rPr>
              <w:t>54.5%</w:t>
            </w:r>
          </w:p>
          <w:p w:rsidR="00A21F50" w:rsidRDefault="00A21F50" w:rsidP="00A21F50">
            <w:pPr>
              <w:rPr>
                <w:rFonts w:ascii="Times New Roman" w:hAnsi="Times New Roman" w:cs="Times New Roman"/>
                <w:sz w:val="24"/>
                <w:szCs w:val="24"/>
              </w:rPr>
            </w:pPr>
            <w:r>
              <w:rPr>
                <w:rFonts w:ascii="Times New Roman" w:hAnsi="Times New Roman" w:cs="Times New Roman"/>
                <w:sz w:val="24"/>
                <w:szCs w:val="24"/>
              </w:rPr>
              <w:t>45.5%</w:t>
            </w:r>
          </w:p>
          <w:p w:rsidR="00A21F50" w:rsidRDefault="00A21F50" w:rsidP="00A21F50">
            <w:pPr>
              <w:rPr>
                <w:rFonts w:ascii="Times New Roman" w:hAnsi="Times New Roman" w:cs="Times New Roman"/>
                <w:sz w:val="24"/>
                <w:szCs w:val="24"/>
              </w:rPr>
            </w:pPr>
            <w:r>
              <w:rPr>
                <w:rFonts w:ascii="Times New Roman" w:hAnsi="Times New Roman" w:cs="Times New Roman"/>
                <w:sz w:val="24"/>
                <w:szCs w:val="24"/>
              </w:rPr>
              <w:t>0.0%</w:t>
            </w:r>
          </w:p>
        </w:tc>
        <w:tc>
          <w:tcPr>
            <w:tcW w:w="1559" w:type="dxa"/>
          </w:tcPr>
          <w:p w:rsidR="00A21F50" w:rsidRDefault="00C45E3C" w:rsidP="00A3096F">
            <w:pPr>
              <w:rPr>
                <w:rFonts w:ascii="Times New Roman" w:hAnsi="Times New Roman" w:cs="Times New Roman"/>
                <w:sz w:val="24"/>
                <w:szCs w:val="24"/>
              </w:rPr>
            </w:pPr>
            <w:r>
              <w:rPr>
                <w:rFonts w:ascii="Times New Roman" w:hAnsi="Times New Roman" w:cs="Times New Roman"/>
                <w:sz w:val="24"/>
                <w:szCs w:val="24"/>
              </w:rPr>
              <w:t>9.1%</w:t>
            </w:r>
          </w:p>
          <w:p w:rsidR="00C45E3C" w:rsidRDefault="00C45E3C" w:rsidP="00A3096F">
            <w:pPr>
              <w:rPr>
                <w:rFonts w:ascii="Times New Roman" w:hAnsi="Times New Roman" w:cs="Times New Roman"/>
                <w:sz w:val="24"/>
                <w:szCs w:val="24"/>
              </w:rPr>
            </w:pPr>
            <w:r>
              <w:rPr>
                <w:rFonts w:ascii="Times New Roman" w:hAnsi="Times New Roman" w:cs="Times New Roman"/>
                <w:sz w:val="24"/>
                <w:szCs w:val="24"/>
              </w:rPr>
              <w:t>18.2%</w:t>
            </w:r>
          </w:p>
          <w:p w:rsidR="00C45E3C" w:rsidRDefault="00C45E3C" w:rsidP="00A3096F">
            <w:pPr>
              <w:rPr>
                <w:rFonts w:ascii="Times New Roman" w:hAnsi="Times New Roman" w:cs="Times New Roman"/>
                <w:sz w:val="24"/>
                <w:szCs w:val="24"/>
              </w:rPr>
            </w:pPr>
            <w:r>
              <w:rPr>
                <w:rFonts w:ascii="Times New Roman" w:hAnsi="Times New Roman" w:cs="Times New Roman"/>
                <w:sz w:val="24"/>
                <w:szCs w:val="24"/>
              </w:rPr>
              <w:t>0.0%</w:t>
            </w:r>
          </w:p>
          <w:p w:rsidR="00C45E3C" w:rsidRDefault="00C45E3C" w:rsidP="00A3096F">
            <w:pPr>
              <w:rPr>
                <w:rFonts w:ascii="Times New Roman" w:hAnsi="Times New Roman" w:cs="Times New Roman"/>
                <w:sz w:val="24"/>
                <w:szCs w:val="24"/>
              </w:rPr>
            </w:pPr>
            <w:r>
              <w:rPr>
                <w:rFonts w:ascii="Times New Roman" w:hAnsi="Times New Roman" w:cs="Times New Roman"/>
                <w:sz w:val="24"/>
                <w:szCs w:val="24"/>
              </w:rPr>
              <w:t>72.7%</w:t>
            </w:r>
          </w:p>
        </w:tc>
        <w:tc>
          <w:tcPr>
            <w:tcW w:w="1417" w:type="dxa"/>
          </w:tcPr>
          <w:p w:rsidR="00A21F50" w:rsidRDefault="00383E14" w:rsidP="00A3096F">
            <w:pPr>
              <w:rPr>
                <w:rFonts w:ascii="Times New Roman" w:hAnsi="Times New Roman" w:cs="Times New Roman"/>
                <w:sz w:val="24"/>
                <w:szCs w:val="24"/>
              </w:rPr>
            </w:pPr>
            <w:r>
              <w:rPr>
                <w:rFonts w:ascii="Times New Roman" w:hAnsi="Times New Roman" w:cs="Times New Roman"/>
                <w:sz w:val="24"/>
                <w:szCs w:val="24"/>
              </w:rPr>
              <w:t>9.1%</w:t>
            </w:r>
          </w:p>
          <w:p w:rsidR="00383E14" w:rsidRDefault="00383E14" w:rsidP="00A3096F">
            <w:pPr>
              <w:rPr>
                <w:rFonts w:ascii="Times New Roman" w:hAnsi="Times New Roman" w:cs="Times New Roman"/>
                <w:sz w:val="24"/>
                <w:szCs w:val="24"/>
              </w:rPr>
            </w:pPr>
            <w:r>
              <w:rPr>
                <w:rFonts w:ascii="Times New Roman" w:hAnsi="Times New Roman" w:cs="Times New Roman"/>
                <w:sz w:val="24"/>
                <w:szCs w:val="24"/>
              </w:rPr>
              <w:t>27.3%</w:t>
            </w:r>
          </w:p>
          <w:p w:rsidR="00383E14" w:rsidRDefault="00383E14" w:rsidP="00A3096F">
            <w:pPr>
              <w:rPr>
                <w:rFonts w:ascii="Times New Roman" w:hAnsi="Times New Roman" w:cs="Times New Roman"/>
                <w:sz w:val="24"/>
                <w:szCs w:val="24"/>
              </w:rPr>
            </w:pPr>
            <w:r>
              <w:rPr>
                <w:rFonts w:ascii="Times New Roman" w:hAnsi="Times New Roman" w:cs="Times New Roman"/>
                <w:sz w:val="24"/>
                <w:szCs w:val="24"/>
              </w:rPr>
              <w:t>9.1%</w:t>
            </w:r>
          </w:p>
          <w:p w:rsidR="00383E14" w:rsidRDefault="00383E14" w:rsidP="00A3096F">
            <w:pPr>
              <w:rPr>
                <w:rFonts w:ascii="Times New Roman" w:hAnsi="Times New Roman" w:cs="Times New Roman"/>
                <w:sz w:val="24"/>
                <w:szCs w:val="24"/>
              </w:rPr>
            </w:pPr>
            <w:r>
              <w:rPr>
                <w:rFonts w:ascii="Times New Roman" w:hAnsi="Times New Roman" w:cs="Times New Roman"/>
                <w:sz w:val="24"/>
                <w:szCs w:val="24"/>
              </w:rPr>
              <w:t>0.0%</w:t>
            </w:r>
          </w:p>
        </w:tc>
        <w:tc>
          <w:tcPr>
            <w:tcW w:w="1843" w:type="dxa"/>
          </w:tcPr>
          <w:p w:rsidR="00A21F50" w:rsidRDefault="003D0798" w:rsidP="00A3096F">
            <w:pPr>
              <w:rPr>
                <w:rFonts w:ascii="Times New Roman" w:hAnsi="Times New Roman" w:cs="Times New Roman"/>
                <w:sz w:val="24"/>
                <w:szCs w:val="24"/>
              </w:rPr>
            </w:pPr>
            <w:r>
              <w:rPr>
                <w:rFonts w:ascii="Times New Roman" w:hAnsi="Times New Roman" w:cs="Times New Roman"/>
                <w:sz w:val="24"/>
                <w:szCs w:val="24"/>
              </w:rPr>
              <w:t>27.3%</w:t>
            </w:r>
          </w:p>
          <w:p w:rsidR="003D0798" w:rsidRDefault="003D0798" w:rsidP="00A3096F">
            <w:pPr>
              <w:rPr>
                <w:rFonts w:ascii="Times New Roman" w:hAnsi="Times New Roman" w:cs="Times New Roman"/>
                <w:sz w:val="24"/>
                <w:szCs w:val="24"/>
              </w:rPr>
            </w:pPr>
            <w:r>
              <w:rPr>
                <w:rFonts w:ascii="Times New Roman" w:hAnsi="Times New Roman" w:cs="Times New Roman"/>
                <w:sz w:val="24"/>
                <w:szCs w:val="24"/>
              </w:rPr>
              <w:t>36.4%</w:t>
            </w:r>
          </w:p>
          <w:p w:rsidR="003D0798" w:rsidRDefault="003D0798" w:rsidP="00A3096F">
            <w:pPr>
              <w:rPr>
                <w:rFonts w:ascii="Times New Roman" w:hAnsi="Times New Roman" w:cs="Times New Roman"/>
                <w:sz w:val="24"/>
                <w:szCs w:val="24"/>
              </w:rPr>
            </w:pPr>
            <w:r>
              <w:rPr>
                <w:rFonts w:ascii="Times New Roman" w:hAnsi="Times New Roman" w:cs="Times New Roman"/>
                <w:sz w:val="24"/>
                <w:szCs w:val="24"/>
              </w:rPr>
              <w:t>18.2%</w:t>
            </w:r>
          </w:p>
          <w:p w:rsidR="003D0798" w:rsidRDefault="003D0798" w:rsidP="00A3096F">
            <w:pPr>
              <w:rPr>
                <w:rFonts w:ascii="Times New Roman" w:hAnsi="Times New Roman" w:cs="Times New Roman"/>
                <w:sz w:val="24"/>
                <w:szCs w:val="24"/>
              </w:rPr>
            </w:pPr>
            <w:r>
              <w:rPr>
                <w:rFonts w:ascii="Times New Roman" w:hAnsi="Times New Roman" w:cs="Times New Roman"/>
                <w:sz w:val="24"/>
                <w:szCs w:val="24"/>
              </w:rPr>
              <w:t>18.2%</w:t>
            </w:r>
          </w:p>
        </w:tc>
        <w:tc>
          <w:tcPr>
            <w:tcW w:w="1418" w:type="dxa"/>
            <w:vAlign w:val="center"/>
          </w:tcPr>
          <w:p w:rsidR="00A21F50" w:rsidRDefault="003D0798" w:rsidP="003D0798">
            <w:pPr>
              <w:rPr>
                <w:rFonts w:ascii="Times New Roman" w:hAnsi="Times New Roman" w:cs="Times New Roman"/>
                <w:sz w:val="24"/>
                <w:szCs w:val="24"/>
              </w:rPr>
            </w:pPr>
            <w:r>
              <w:rPr>
                <w:rFonts w:ascii="Times New Roman" w:hAnsi="Times New Roman" w:cs="Times New Roman"/>
                <w:sz w:val="24"/>
                <w:szCs w:val="24"/>
              </w:rPr>
              <w:t>2.7 km</w:t>
            </w:r>
          </w:p>
          <w:p w:rsidR="003D0798" w:rsidRDefault="003D0798" w:rsidP="003D0798">
            <w:pPr>
              <w:rPr>
                <w:rFonts w:ascii="Times New Roman" w:hAnsi="Times New Roman" w:cs="Times New Roman"/>
                <w:sz w:val="24"/>
                <w:szCs w:val="24"/>
              </w:rPr>
            </w:pPr>
            <w:r>
              <w:rPr>
                <w:rFonts w:ascii="Times New Roman" w:hAnsi="Times New Roman" w:cs="Times New Roman"/>
                <w:sz w:val="24"/>
                <w:szCs w:val="24"/>
              </w:rPr>
              <w:t>6 km</w:t>
            </w:r>
            <w:r w:rsidRPr="003D0798">
              <w:rPr>
                <w:rFonts w:ascii="Times New Roman" w:hAnsi="Times New Roman" w:cs="Times New Roman"/>
                <w:sz w:val="24"/>
                <w:szCs w:val="24"/>
                <w:vertAlign w:val="superscript"/>
              </w:rPr>
              <w:t>2</w:t>
            </w:r>
          </w:p>
        </w:tc>
      </w:tr>
    </w:tbl>
    <w:p w:rsidR="007D4DA3" w:rsidRPr="00114192" w:rsidRDefault="007D4DA3" w:rsidP="00114192">
      <w:pPr>
        <w:sectPr w:rsidR="007D4DA3" w:rsidRPr="00114192" w:rsidSect="007A6F3A">
          <w:type w:val="continuous"/>
          <w:pgSz w:w="12240" w:h="15840"/>
          <w:pgMar w:top="1440" w:right="1440" w:bottom="1440" w:left="1440" w:header="708" w:footer="708" w:gutter="0"/>
          <w:cols w:space="708"/>
          <w:docGrid w:linePitch="360"/>
        </w:sectPr>
      </w:pPr>
    </w:p>
    <w:p w:rsidR="009461B7" w:rsidRDefault="009461B7" w:rsidP="00114192">
      <w:pPr>
        <w:rPr>
          <w:rFonts w:ascii="Times New Roman" w:hAnsi="Times New Roman" w:cs="Times New Roman"/>
          <w:sz w:val="24"/>
          <w:szCs w:val="24"/>
        </w:rPr>
      </w:pPr>
    </w:p>
    <w:p w:rsidR="00A22603" w:rsidRDefault="00C15D59" w:rsidP="00114192">
      <w:pPr>
        <w:rPr>
          <w:rFonts w:ascii="Times New Roman" w:hAnsi="Times New Roman" w:cs="Times New Roman"/>
          <w:sz w:val="24"/>
          <w:szCs w:val="24"/>
        </w:rPr>
      </w:pPr>
      <w:r>
        <w:rPr>
          <w:rFonts w:ascii="Times New Roman" w:hAnsi="Times New Roman" w:cs="Times New Roman"/>
          <w:sz w:val="24"/>
          <w:szCs w:val="24"/>
        </w:rPr>
        <w:t xml:space="preserve">All five of the largest components had a mean distance </w:t>
      </w:r>
      <w:r w:rsidR="00B65704">
        <w:rPr>
          <w:rFonts w:ascii="Times New Roman" w:hAnsi="Times New Roman" w:cs="Times New Roman"/>
          <w:sz w:val="24"/>
          <w:szCs w:val="24"/>
        </w:rPr>
        <w:t xml:space="preserve">less than four kilometres </w:t>
      </w:r>
      <w:r>
        <w:rPr>
          <w:rFonts w:ascii="Times New Roman" w:hAnsi="Times New Roman" w:cs="Times New Roman"/>
          <w:sz w:val="24"/>
          <w:szCs w:val="24"/>
        </w:rPr>
        <w:t>between any two connected respondents or a respondent and a site for risk-related activities. T</w:t>
      </w:r>
      <w:r w:rsidR="00C52326">
        <w:rPr>
          <w:rFonts w:ascii="Times New Roman" w:hAnsi="Times New Roman" w:cs="Times New Roman"/>
          <w:sz w:val="24"/>
          <w:szCs w:val="24"/>
        </w:rPr>
        <w:t xml:space="preserve">his reflects the compact spatial nature of the majority of the </w:t>
      </w:r>
      <w:r>
        <w:rPr>
          <w:rFonts w:ascii="Times New Roman" w:hAnsi="Times New Roman" w:cs="Times New Roman"/>
          <w:sz w:val="24"/>
          <w:szCs w:val="24"/>
        </w:rPr>
        <w:t>social connections</w:t>
      </w:r>
      <w:r w:rsidR="00C52326">
        <w:rPr>
          <w:rFonts w:ascii="Times New Roman" w:hAnsi="Times New Roman" w:cs="Times New Roman"/>
          <w:sz w:val="24"/>
          <w:szCs w:val="24"/>
        </w:rPr>
        <w:t>.</w:t>
      </w:r>
      <w:r w:rsidR="00056EB6">
        <w:rPr>
          <w:rFonts w:ascii="Times New Roman" w:hAnsi="Times New Roman" w:cs="Times New Roman"/>
          <w:sz w:val="24"/>
          <w:szCs w:val="24"/>
        </w:rPr>
        <w:t xml:space="preserve"> Several pockets of activity occurred throughout the city, with individual sites (</w:t>
      </w:r>
      <w:r w:rsidR="00B65704">
        <w:rPr>
          <w:rFonts w:ascii="Times New Roman" w:hAnsi="Times New Roman" w:cs="Times New Roman"/>
          <w:sz w:val="24"/>
          <w:szCs w:val="24"/>
        </w:rPr>
        <w:t xml:space="preserve">e.g. </w:t>
      </w:r>
      <w:r w:rsidR="00056EB6">
        <w:rPr>
          <w:rFonts w:ascii="Times New Roman" w:hAnsi="Times New Roman" w:cs="Times New Roman"/>
          <w:sz w:val="24"/>
          <w:szCs w:val="24"/>
        </w:rPr>
        <w:t>R101, at the western extent</w:t>
      </w:r>
      <w:r w:rsidR="00B65704">
        <w:rPr>
          <w:rFonts w:ascii="Times New Roman" w:hAnsi="Times New Roman" w:cs="Times New Roman"/>
          <w:sz w:val="24"/>
          <w:szCs w:val="24"/>
        </w:rPr>
        <w:t>, R45 and R55 in downtown Winnipeg</w:t>
      </w:r>
      <w:r w:rsidR="00056EB6">
        <w:rPr>
          <w:rFonts w:ascii="Times New Roman" w:hAnsi="Times New Roman" w:cs="Times New Roman"/>
          <w:sz w:val="24"/>
          <w:szCs w:val="24"/>
        </w:rPr>
        <w:t xml:space="preserve">) that stand out as foci of activity. </w:t>
      </w:r>
      <w:r w:rsidR="00B65704">
        <w:rPr>
          <w:rFonts w:ascii="Times New Roman" w:hAnsi="Times New Roman" w:cs="Times New Roman"/>
          <w:sz w:val="24"/>
          <w:szCs w:val="24"/>
        </w:rPr>
        <w:t>The densest areas of social activity fall within the overlap of all five components, coinciding with the core of Winnipeg (Figure 3</w:t>
      </w:r>
      <w:r w:rsidR="00A5598C">
        <w:rPr>
          <w:rFonts w:ascii="Times New Roman" w:hAnsi="Times New Roman" w:cs="Times New Roman"/>
          <w:sz w:val="24"/>
          <w:szCs w:val="24"/>
        </w:rPr>
        <w:t>a</w:t>
      </w:r>
      <w:r w:rsidR="00B65704">
        <w:rPr>
          <w:rFonts w:ascii="Times New Roman" w:hAnsi="Times New Roman" w:cs="Times New Roman"/>
          <w:sz w:val="24"/>
          <w:szCs w:val="24"/>
        </w:rPr>
        <w:t xml:space="preserve">). </w:t>
      </w:r>
      <w:r w:rsidR="00A5598C">
        <w:rPr>
          <w:rFonts w:ascii="Times New Roman" w:hAnsi="Times New Roman" w:cs="Times New Roman"/>
          <w:sz w:val="24"/>
          <w:szCs w:val="24"/>
        </w:rPr>
        <w:t xml:space="preserve">R101, with the highest </w:t>
      </w:r>
      <w:proofErr w:type="spellStart"/>
      <w:r w:rsidR="00A5598C">
        <w:rPr>
          <w:rFonts w:ascii="Times New Roman" w:hAnsi="Times New Roman" w:cs="Times New Roman"/>
          <w:sz w:val="24"/>
          <w:szCs w:val="24"/>
        </w:rPr>
        <w:t>betweenness</w:t>
      </w:r>
      <w:proofErr w:type="spellEnd"/>
      <w:r w:rsidR="00A5598C">
        <w:rPr>
          <w:rFonts w:ascii="Times New Roman" w:hAnsi="Times New Roman" w:cs="Times New Roman"/>
          <w:sz w:val="24"/>
          <w:szCs w:val="24"/>
        </w:rPr>
        <w:t xml:space="preserve"> score in Component 1, stands out as a point of social influence among Winnipeg’s vulnerable population despite its position outside of the city’s limits. The two other sites of highest </w:t>
      </w:r>
      <w:proofErr w:type="spellStart"/>
      <w:r w:rsidR="00A5598C">
        <w:rPr>
          <w:rFonts w:ascii="Times New Roman" w:hAnsi="Times New Roman" w:cs="Times New Roman"/>
          <w:sz w:val="24"/>
          <w:szCs w:val="24"/>
        </w:rPr>
        <w:t>betweenness</w:t>
      </w:r>
      <w:proofErr w:type="spellEnd"/>
      <w:r w:rsidR="00A5598C">
        <w:rPr>
          <w:rFonts w:ascii="Times New Roman" w:hAnsi="Times New Roman" w:cs="Times New Roman"/>
          <w:sz w:val="24"/>
          <w:szCs w:val="24"/>
        </w:rPr>
        <w:t xml:space="preserve"> in Component 1 (R45 and R55) together form the area of strongest social influence in both the full activity space (Figure 3a) and the </w:t>
      </w:r>
      <w:proofErr w:type="spellStart"/>
      <w:r w:rsidR="00A5598C">
        <w:rPr>
          <w:rFonts w:ascii="Times New Roman" w:hAnsi="Times New Roman" w:cs="Times New Roman"/>
          <w:sz w:val="24"/>
          <w:szCs w:val="24"/>
        </w:rPr>
        <w:t>betweenness</w:t>
      </w:r>
      <w:proofErr w:type="spellEnd"/>
      <w:r w:rsidR="00A5598C">
        <w:rPr>
          <w:rFonts w:ascii="Times New Roman" w:hAnsi="Times New Roman" w:cs="Times New Roman"/>
          <w:sz w:val="24"/>
          <w:szCs w:val="24"/>
        </w:rPr>
        <w:t>-weighted density surface for Component 1 (Figure 3b).</w:t>
      </w:r>
    </w:p>
    <w:p w:rsidR="00B65704" w:rsidRPr="00B65704" w:rsidRDefault="00B65704" w:rsidP="00B65704">
      <w:pPr>
        <w:pStyle w:val="Caption"/>
        <w:keepNext/>
        <w:rPr>
          <w:rFonts w:ascii="Times New Roman" w:hAnsi="Times New Roman" w:cs="Times New Roman"/>
          <w:color w:val="auto"/>
          <w:sz w:val="24"/>
          <w:szCs w:val="24"/>
        </w:rPr>
      </w:pPr>
      <w:proofErr w:type="gramStart"/>
      <w:r w:rsidRPr="00B65704">
        <w:rPr>
          <w:rFonts w:ascii="Times New Roman" w:hAnsi="Times New Roman" w:cs="Times New Roman"/>
          <w:color w:val="auto"/>
          <w:sz w:val="24"/>
          <w:szCs w:val="24"/>
        </w:rPr>
        <w:lastRenderedPageBreak/>
        <w:t xml:space="preserve">Figure </w:t>
      </w:r>
      <w:r w:rsidR="003B1A1A" w:rsidRPr="00B65704">
        <w:rPr>
          <w:rFonts w:ascii="Times New Roman" w:hAnsi="Times New Roman" w:cs="Times New Roman"/>
          <w:color w:val="auto"/>
          <w:sz w:val="24"/>
          <w:szCs w:val="24"/>
        </w:rPr>
        <w:fldChar w:fldCharType="begin"/>
      </w:r>
      <w:r w:rsidRPr="00B65704">
        <w:rPr>
          <w:rFonts w:ascii="Times New Roman" w:hAnsi="Times New Roman" w:cs="Times New Roman"/>
          <w:color w:val="auto"/>
          <w:sz w:val="24"/>
          <w:szCs w:val="24"/>
        </w:rPr>
        <w:instrText xml:space="preserve"> SEQ Figure \* ARABIC </w:instrText>
      </w:r>
      <w:r w:rsidR="003B1A1A" w:rsidRPr="00B65704">
        <w:rPr>
          <w:rFonts w:ascii="Times New Roman" w:hAnsi="Times New Roman" w:cs="Times New Roman"/>
          <w:color w:val="auto"/>
          <w:sz w:val="24"/>
          <w:szCs w:val="24"/>
        </w:rPr>
        <w:fldChar w:fldCharType="separate"/>
      </w:r>
      <w:r w:rsidR="006E71D8">
        <w:rPr>
          <w:rFonts w:ascii="Times New Roman" w:hAnsi="Times New Roman" w:cs="Times New Roman"/>
          <w:noProof/>
          <w:color w:val="auto"/>
          <w:sz w:val="24"/>
          <w:szCs w:val="24"/>
        </w:rPr>
        <w:t>3</w:t>
      </w:r>
      <w:r w:rsidR="003B1A1A" w:rsidRPr="00B65704">
        <w:rPr>
          <w:rFonts w:ascii="Times New Roman" w:hAnsi="Times New Roman" w:cs="Times New Roman"/>
          <w:color w:val="auto"/>
          <w:sz w:val="24"/>
          <w:szCs w:val="24"/>
        </w:rPr>
        <w:fldChar w:fldCharType="end"/>
      </w:r>
      <w:r w:rsidRPr="00B65704">
        <w:rPr>
          <w:rFonts w:ascii="Times New Roman" w:hAnsi="Times New Roman" w:cs="Times New Roman"/>
          <w:color w:val="auto"/>
          <w:sz w:val="24"/>
          <w:szCs w:val="24"/>
        </w:rPr>
        <w:t>.</w:t>
      </w:r>
      <w:proofErr w:type="gramEnd"/>
      <w:r w:rsidRPr="00B65704">
        <w:rPr>
          <w:rFonts w:ascii="Times New Roman" w:hAnsi="Times New Roman" w:cs="Times New Roman"/>
          <w:color w:val="auto"/>
          <w:sz w:val="24"/>
          <w:szCs w:val="24"/>
        </w:rPr>
        <w:t xml:space="preserve"> </w:t>
      </w:r>
      <w:proofErr w:type="gramStart"/>
      <w:r w:rsidRPr="00B65704">
        <w:rPr>
          <w:rFonts w:ascii="Times New Roman" w:hAnsi="Times New Roman" w:cs="Times New Roman"/>
          <w:b w:val="0"/>
          <w:color w:val="auto"/>
          <w:sz w:val="24"/>
          <w:szCs w:val="24"/>
        </w:rPr>
        <w:t>(A) Spatial Extents of Components 1, 2, 3, 7 and 29 with density of all activity locations.</w:t>
      </w:r>
      <w:proofErr w:type="gramEnd"/>
      <w:r w:rsidRPr="00B65704">
        <w:rPr>
          <w:rFonts w:ascii="Times New Roman" w:hAnsi="Times New Roman" w:cs="Times New Roman"/>
          <w:b w:val="0"/>
          <w:color w:val="auto"/>
          <w:sz w:val="24"/>
          <w:szCs w:val="24"/>
        </w:rPr>
        <w:t xml:space="preserve"> (B) </w:t>
      </w:r>
      <w:proofErr w:type="gramStart"/>
      <w:r w:rsidRPr="00B65704">
        <w:rPr>
          <w:rFonts w:ascii="Times New Roman" w:hAnsi="Times New Roman" w:cs="Times New Roman"/>
          <w:b w:val="0"/>
          <w:color w:val="auto"/>
          <w:sz w:val="24"/>
          <w:szCs w:val="24"/>
        </w:rPr>
        <w:t>shows</w:t>
      </w:r>
      <w:proofErr w:type="gramEnd"/>
      <w:r w:rsidRPr="00B65704">
        <w:rPr>
          <w:rFonts w:ascii="Times New Roman" w:hAnsi="Times New Roman" w:cs="Times New Roman"/>
          <w:b w:val="0"/>
          <w:color w:val="auto"/>
          <w:sz w:val="24"/>
          <w:szCs w:val="24"/>
        </w:rPr>
        <w:t xml:space="preserve"> the density of Component 1 </w:t>
      </w:r>
      <w:proofErr w:type="spellStart"/>
      <w:r w:rsidRPr="00B65704">
        <w:rPr>
          <w:rFonts w:ascii="Times New Roman" w:hAnsi="Times New Roman" w:cs="Times New Roman"/>
          <w:b w:val="0"/>
          <w:color w:val="auto"/>
          <w:sz w:val="24"/>
          <w:szCs w:val="24"/>
        </w:rPr>
        <w:t>betweenness</w:t>
      </w:r>
      <w:proofErr w:type="spellEnd"/>
      <w:r w:rsidRPr="00B65704">
        <w:rPr>
          <w:rFonts w:ascii="Times New Roman" w:hAnsi="Times New Roman" w:cs="Times New Roman"/>
          <w:b w:val="0"/>
          <w:color w:val="auto"/>
          <w:sz w:val="24"/>
          <w:szCs w:val="24"/>
        </w:rPr>
        <w:t xml:space="preserve"> values for the core of Winnipeg.</w:t>
      </w:r>
    </w:p>
    <w:p w:rsidR="00B65704" w:rsidRDefault="00B65704" w:rsidP="00A45A71">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5962650" cy="33539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DE Comparison.jpg"/>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76112" cy="3361563"/>
                    </a:xfrm>
                    <a:prstGeom prst="rect">
                      <a:avLst/>
                    </a:prstGeom>
                  </pic:spPr>
                </pic:pic>
              </a:graphicData>
            </a:graphic>
          </wp:inline>
        </w:drawing>
      </w:r>
    </w:p>
    <w:p w:rsidR="00A5598C" w:rsidRDefault="00F45375" w:rsidP="00114192">
      <w:pPr>
        <w:rPr>
          <w:rFonts w:ascii="Times New Roman" w:hAnsi="Times New Roman" w:cs="Times New Roman"/>
          <w:sz w:val="24"/>
          <w:szCs w:val="24"/>
        </w:rPr>
      </w:pPr>
      <w:r>
        <w:rPr>
          <w:rFonts w:ascii="Times New Roman" w:hAnsi="Times New Roman" w:cs="Times New Roman"/>
          <w:sz w:val="24"/>
          <w:szCs w:val="24"/>
        </w:rPr>
        <w:t xml:space="preserve">Using the </w:t>
      </w:r>
      <w:proofErr w:type="spellStart"/>
      <w:r>
        <w:rPr>
          <w:rFonts w:ascii="Times New Roman" w:hAnsi="Times New Roman" w:cs="Times New Roman"/>
          <w:sz w:val="24"/>
          <w:szCs w:val="24"/>
        </w:rPr>
        <w:t>betweenness</w:t>
      </w:r>
      <w:proofErr w:type="spellEnd"/>
      <w:r>
        <w:rPr>
          <w:rFonts w:ascii="Times New Roman" w:hAnsi="Times New Roman" w:cs="Times New Roman"/>
          <w:sz w:val="24"/>
          <w:szCs w:val="24"/>
        </w:rPr>
        <w:t xml:space="preserve"> values, activity spaces for each of the major components were identified. The key activity spaces within each are highlighted in red and yellow, indicating their importance to their own social group (Figure 4). In these social networks, only two risk-related activity sites have </w:t>
      </w:r>
      <w:proofErr w:type="spellStart"/>
      <w:r>
        <w:rPr>
          <w:rFonts w:ascii="Times New Roman" w:hAnsi="Times New Roman" w:cs="Times New Roman"/>
          <w:sz w:val="24"/>
          <w:szCs w:val="24"/>
        </w:rPr>
        <w:t>betweenness</w:t>
      </w:r>
      <w:proofErr w:type="spellEnd"/>
      <w:r>
        <w:rPr>
          <w:rFonts w:ascii="Times New Roman" w:hAnsi="Times New Roman" w:cs="Times New Roman"/>
          <w:sz w:val="24"/>
          <w:szCs w:val="24"/>
        </w:rPr>
        <w:t xml:space="preserve"> values higher than zero: R5 (Component 3) and R31 (Component 29).</w:t>
      </w:r>
    </w:p>
    <w:p w:rsidR="00F45375" w:rsidRPr="00F45375" w:rsidRDefault="00F45375" w:rsidP="00F45375">
      <w:pPr>
        <w:pStyle w:val="Caption"/>
        <w:keepNext/>
        <w:rPr>
          <w:rFonts w:ascii="Times New Roman" w:hAnsi="Times New Roman" w:cs="Times New Roman"/>
          <w:color w:val="auto"/>
          <w:sz w:val="24"/>
          <w:szCs w:val="24"/>
        </w:rPr>
      </w:pPr>
      <w:proofErr w:type="gramStart"/>
      <w:r w:rsidRPr="00F45375">
        <w:rPr>
          <w:rFonts w:ascii="Times New Roman" w:hAnsi="Times New Roman" w:cs="Times New Roman"/>
          <w:color w:val="auto"/>
          <w:sz w:val="24"/>
          <w:szCs w:val="24"/>
        </w:rPr>
        <w:lastRenderedPageBreak/>
        <w:t xml:space="preserve">Figure </w:t>
      </w:r>
      <w:r w:rsidR="003B1A1A" w:rsidRPr="00F45375">
        <w:rPr>
          <w:rFonts w:ascii="Times New Roman" w:hAnsi="Times New Roman" w:cs="Times New Roman"/>
          <w:color w:val="auto"/>
          <w:sz w:val="24"/>
          <w:szCs w:val="24"/>
        </w:rPr>
        <w:fldChar w:fldCharType="begin"/>
      </w:r>
      <w:r w:rsidRPr="00F45375">
        <w:rPr>
          <w:rFonts w:ascii="Times New Roman" w:hAnsi="Times New Roman" w:cs="Times New Roman"/>
          <w:color w:val="auto"/>
          <w:sz w:val="24"/>
          <w:szCs w:val="24"/>
        </w:rPr>
        <w:instrText xml:space="preserve"> SEQ Figure \* ARABIC </w:instrText>
      </w:r>
      <w:r w:rsidR="003B1A1A" w:rsidRPr="00F45375">
        <w:rPr>
          <w:rFonts w:ascii="Times New Roman" w:hAnsi="Times New Roman" w:cs="Times New Roman"/>
          <w:color w:val="auto"/>
          <w:sz w:val="24"/>
          <w:szCs w:val="24"/>
        </w:rPr>
        <w:fldChar w:fldCharType="separate"/>
      </w:r>
      <w:r w:rsidR="006E71D8">
        <w:rPr>
          <w:rFonts w:ascii="Times New Roman" w:hAnsi="Times New Roman" w:cs="Times New Roman"/>
          <w:noProof/>
          <w:color w:val="auto"/>
          <w:sz w:val="24"/>
          <w:szCs w:val="24"/>
        </w:rPr>
        <w:t>4</w:t>
      </w:r>
      <w:r w:rsidR="003B1A1A" w:rsidRPr="00F45375">
        <w:rPr>
          <w:rFonts w:ascii="Times New Roman" w:hAnsi="Times New Roman" w:cs="Times New Roman"/>
          <w:color w:val="auto"/>
          <w:sz w:val="24"/>
          <w:szCs w:val="24"/>
        </w:rPr>
        <w:fldChar w:fldCharType="end"/>
      </w:r>
      <w:r w:rsidRPr="00F45375">
        <w:rPr>
          <w:rFonts w:ascii="Times New Roman" w:hAnsi="Times New Roman" w:cs="Times New Roman"/>
          <w:color w:val="auto"/>
          <w:sz w:val="24"/>
          <w:szCs w:val="24"/>
        </w:rPr>
        <w:t>.</w:t>
      </w:r>
      <w:proofErr w:type="gramEnd"/>
      <w:r w:rsidRPr="00F45375">
        <w:rPr>
          <w:rFonts w:ascii="Times New Roman" w:hAnsi="Times New Roman" w:cs="Times New Roman"/>
          <w:color w:val="auto"/>
          <w:sz w:val="24"/>
          <w:szCs w:val="24"/>
        </w:rPr>
        <w:t xml:space="preserve"> </w:t>
      </w:r>
      <w:proofErr w:type="gramStart"/>
      <w:r w:rsidRPr="00F45375">
        <w:rPr>
          <w:rFonts w:ascii="Times New Roman" w:hAnsi="Times New Roman" w:cs="Times New Roman"/>
          <w:b w:val="0"/>
          <w:color w:val="auto"/>
          <w:sz w:val="24"/>
          <w:szCs w:val="24"/>
        </w:rPr>
        <w:t xml:space="preserve">The </w:t>
      </w:r>
      <w:proofErr w:type="spellStart"/>
      <w:r w:rsidRPr="00F45375">
        <w:rPr>
          <w:rFonts w:ascii="Times New Roman" w:hAnsi="Times New Roman" w:cs="Times New Roman"/>
          <w:b w:val="0"/>
          <w:color w:val="auto"/>
          <w:sz w:val="24"/>
          <w:szCs w:val="24"/>
        </w:rPr>
        <w:t>betweenness</w:t>
      </w:r>
      <w:proofErr w:type="spellEnd"/>
      <w:r w:rsidRPr="00F45375">
        <w:rPr>
          <w:rFonts w:ascii="Times New Roman" w:hAnsi="Times New Roman" w:cs="Times New Roman"/>
          <w:b w:val="0"/>
          <w:color w:val="auto"/>
          <w:sz w:val="24"/>
          <w:szCs w:val="24"/>
        </w:rPr>
        <w:t xml:space="preserve">-weighted density surface </w:t>
      </w:r>
      <w:r>
        <w:rPr>
          <w:rFonts w:ascii="Times New Roman" w:hAnsi="Times New Roman" w:cs="Times New Roman"/>
          <w:b w:val="0"/>
          <w:color w:val="auto"/>
          <w:sz w:val="24"/>
          <w:szCs w:val="24"/>
        </w:rPr>
        <w:t>for</w:t>
      </w:r>
      <w:r w:rsidRPr="00F45375">
        <w:rPr>
          <w:rFonts w:ascii="Times New Roman" w:hAnsi="Times New Roman" w:cs="Times New Roman"/>
          <w:b w:val="0"/>
          <w:color w:val="auto"/>
          <w:sz w:val="24"/>
          <w:szCs w:val="24"/>
        </w:rPr>
        <w:t xml:space="preserve"> (A) Component 2, (B) Component 3, (C) Component 7 and (D) Component 29</w:t>
      </w:r>
      <w:r>
        <w:rPr>
          <w:rFonts w:ascii="Times New Roman" w:hAnsi="Times New Roman" w:cs="Times New Roman"/>
          <w:b w:val="0"/>
          <w:color w:val="auto"/>
          <w:sz w:val="24"/>
          <w:szCs w:val="24"/>
        </w:rPr>
        <w:t>, in the same geographic area as Figure 3b.</w:t>
      </w:r>
      <w:proofErr w:type="gramEnd"/>
    </w:p>
    <w:p w:rsidR="00F45375" w:rsidRDefault="00F45375" w:rsidP="00114192">
      <w:pP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5810250" cy="326826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DE Betweenness Densities.jp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10250" cy="3268263"/>
                    </a:xfrm>
                    <a:prstGeom prst="rect">
                      <a:avLst/>
                    </a:prstGeom>
                  </pic:spPr>
                </pic:pic>
              </a:graphicData>
            </a:graphic>
          </wp:inline>
        </w:drawing>
      </w:r>
    </w:p>
    <w:p w:rsidR="00C139EC" w:rsidRPr="00B32FC5" w:rsidRDefault="00C139EC" w:rsidP="00C139EC">
      <w:pPr>
        <w:pStyle w:val="Heading2"/>
        <w:rPr>
          <w:rFonts w:ascii="Times New Roman" w:hAnsi="Times New Roman" w:cs="Times New Roman"/>
          <w:color w:val="auto"/>
          <w:sz w:val="24"/>
          <w:szCs w:val="24"/>
        </w:rPr>
      </w:pPr>
      <w:r w:rsidRPr="00B32FC5">
        <w:rPr>
          <w:color w:val="auto"/>
        </w:rPr>
        <w:t>Discussion</w:t>
      </w:r>
    </w:p>
    <w:p w:rsidR="00496F83" w:rsidRPr="005242DF" w:rsidRDefault="00496F83" w:rsidP="00571969">
      <w:pPr>
        <w:jc w:val="both"/>
        <w:rPr>
          <w:rFonts w:ascii="Times New Roman" w:hAnsi="Times New Roman" w:cs="Times New Roman"/>
          <w:sz w:val="24"/>
          <w:szCs w:val="24"/>
        </w:rPr>
      </w:pPr>
      <w:r>
        <w:rPr>
          <w:rFonts w:ascii="Times New Roman" w:hAnsi="Times New Roman" w:cs="Times New Roman"/>
          <w:sz w:val="24"/>
          <w:szCs w:val="24"/>
        </w:rPr>
        <w:t xml:space="preserve">Our study focuses on the social importance of specific locations used for </w:t>
      </w:r>
      <w:r w:rsidR="00FF0D5E">
        <w:rPr>
          <w:rFonts w:ascii="Times New Roman" w:hAnsi="Times New Roman" w:cs="Times New Roman"/>
          <w:sz w:val="24"/>
          <w:szCs w:val="24"/>
        </w:rPr>
        <w:t>illicit activities among a network of vulnerable people</w:t>
      </w:r>
      <w:r w:rsidR="00BB4022">
        <w:rPr>
          <w:rFonts w:ascii="Times New Roman" w:hAnsi="Times New Roman" w:cs="Times New Roman"/>
          <w:sz w:val="24"/>
          <w:szCs w:val="24"/>
        </w:rPr>
        <w:t xml:space="preserve"> in Winnipeg, Canada</w:t>
      </w:r>
      <w:r w:rsidR="00FF0D5E">
        <w:rPr>
          <w:rFonts w:ascii="Times New Roman" w:hAnsi="Times New Roman" w:cs="Times New Roman"/>
          <w:sz w:val="24"/>
          <w:szCs w:val="24"/>
        </w:rPr>
        <w:t xml:space="preserve">. </w:t>
      </w:r>
      <w:r w:rsidR="00BB4022">
        <w:rPr>
          <w:rFonts w:ascii="Times New Roman" w:hAnsi="Times New Roman" w:cs="Times New Roman"/>
          <w:sz w:val="24"/>
          <w:szCs w:val="24"/>
        </w:rPr>
        <w:t>We demonstrate that spatial analysis using social network metrics can be used to better understand the social topology that enables STI/BBP transmission among IDUs and commercial sex participants.</w:t>
      </w:r>
      <w:r w:rsidR="005242DF">
        <w:rPr>
          <w:rFonts w:ascii="Times New Roman" w:hAnsi="Times New Roman" w:cs="Times New Roman"/>
          <w:sz w:val="24"/>
          <w:szCs w:val="24"/>
        </w:rPr>
        <w:t xml:space="preserve"> As has been shown in other cities, the </w:t>
      </w:r>
      <w:proofErr w:type="gramStart"/>
      <w:r w:rsidR="005242DF">
        <w:rPr>
          <w:rFonts w:ascii="Times New Roman" w:hAnsi="Times New Roman" w:cs="Times New Roman"/>
          <w:sz w:val="24"/>
          <w:szCs w:val="24"/>
        </w:rPr>
        <w:t xml:space="preserve">activities of vulnerable people </w:t>
      </w:r>
      <w:r w:rsidR="008353FA">
        <w:rPr>
          <w:rFonts w:ascii="Times New Roman" w:hAnsi="Times New Roman" w:cs="Times New Roman"/>
          <w:sz w:val="24"/>
          <w:szCs w:val="24"/>
        </w:rPr>
        <w:t>was</w:t>
      </w:r>
      <w:proofErr w:type="gramEnd"/>
      <w:r w:rsidR="005242DF">
        <w:rPr>
          <w:rFonts w:ascii="Times New Roman" w:hAnsi="Times New Roman" w:cs="Times New Roman"/>
          <w:sz w:val="24"/>
          <w:szCs w:val="24"/>
        </w:rPr>
        <w:t xml:space="preserve"> concentrated in certain neighbourhoods (</w:t>
      </w:r>
      <w:proofErr w:type="spellStart"/>
      <w:r w:rsidR="005242DF">
        <w:rPr>
          <w:rFonts w:ascii="Times New Roman" w:hAnsi="Times New Roman" w:cs="Times New Roman"/>
          <w:sz w:val="24"/>
          <w:szCs w:val="24"/>
        </w:rPr>
        <w:t>Brouwer</w:t>
      </w:r>
      <w:proofErr w:type="spellEnd"/>
      <w:r w:rsidR="005242DF">
        <w:rPr>
          <w:rFonts w:ascii="Times New Roman" w:hAnsi="Times New Roman" w:cs="Times New Roman"/>
          <w:sz w:val="24"/>
          <w:szCs w:val="24"/>
        </w:rPr>
        <w:t xml:space="preserve"> </w:t>
      </w:r>
      <w:r w:rsidR="005242DF">
        <w:rPr>
          <w:rFonts w:ascii="Times New Roman" w:hAnsi="Times New Roman" w:cs="Times New Roman"/>
          <w:i/>
          <w:sz w:val="24"/>
          <w:szCs w:val="24"/>
        </w:rPr>
        <w:t>et al.</w:t>
      </w:r>
      <w:r w:rsidR="005242DF">
        <w:rPr>
          <w:rFonts w:ascii="Times New Roman" w:hAnsi="Times New Roman" w:cs="Times New Roman"/>
          <w:sz w:val="24"/>
          <w:szCs w:val="24"/>
        </w:rPr>
        <w:t>, 2013).</w:t>
      </w:r>
    </w:p>
    <w:p w:rsidR="00217526" w:rsidRDefault="00B77953" w:rsidP="00571969">
      <w:pPr>
        <w:jc w:val="both"/>
        <w:rPr>
          <w:rFonts w:ascii="Times New Roman" w:hAnsi="Times New Roman" w:cs="Times New Roman"/>
          <w:sz w:val="24"/>
          <w:szCs w:val="24"/>
        </w:rPr>
      </w:pPr>
      <w:r w:rsidRPr="005242DF">
        <w:rPr>
          <w:rFonts w:ascii="Times New Roman" w:hAnsi="Times New Roman" w:cs="Times New Roman"/>
          <w:sz w:val="24"/>
          <w:szCs w:val="24"/>
        </w:rPr>
        <w:t xml:space="preserve">To observe the role of place in a community of vulnerable persons, we focus on Component 1 (Figure 3b). The strength of these social activity sites is evident in their relative </w:t>
      </w:r>
      <w:proofErr w:type="spellStart"/>
      <w:r w:rsidRPr="005242DF">
        <w:rPr>
          <w:rFonts w:ascii="Times New Roman" w:hAnsi="Times New Roman" w:cs="Times New Roman"/>
          <w:sz w:val="24"/>
          <w:szCs w:val="24"/>
        </w:rPr>
        <w:t>betweenness</w:t>
      </w:r>
      <w:proofErr w:type="spellEnd"/>
      <w:r w:rsidRPr="005242DF">
        <w:rPr>
          <w:rFonts w:ascii="Times New Roman" w:hAnsi="Times New Roman" w:cs="Times New Roman"/>
          <w:sz w:val="24"/>
          <w:szCs w:val="24"/>
        </w:rPr>
        <w:t xml:space="preserve"> scores, several of which rank among the highest in the network </w:t>
      </w:r>
      <w:r w:rsidR="005242DF" w:rsidRPr="005242DF">
        <w:rPr>
          <w:rFonts w:ascii="Times New Roman" w:hAnsi="Times New Roman" w:cs="Times New Roman"/>
          <w:sz w:val="24"/>
          <w:szCs w:val="24"/>
        </w:rPr>
        <w:t>(Figure 2)</w:t>
      </w:r>
      <w:r w:rsidRPr="005242DF">
        <w:rPr>
          <w:rFonts w:ascii="Times New Roman" w:hAnsi="Times New Roman" w:cs="Times New Roman"/>
          <w:sz w:val="24"/>
          <w:szCs w:val="24"/>
        </w:rPr>
        <w:t>. Without the strong influence of several site</w:t>
      </w:r>
      <w:r w:rsidR="005242DF" w:rsidRPr="005242DF">
        <w:rPr>
          <w:rFonts w:ascii="Times New Roman" w:hAnsi="Times New Roman" w:cs="Times New Roman"/>
          <w:sz w:val="24"/>
          <w:szCs w:val="24"/>
        </w:rPr>
        <w:t>s (R45, R55</w:t>
      </w:r>
      <w:r w:rsidRPr="005242DF">
        <w:rPr>
          <w:rFonts w:ascii="Times New Roman" w:hAnsi="Times New Roman" w:cs="Times New Roman"/>
          <w:sz w:val="24"/>
          <w:szCs w:val="24"/>
        </w:rPr>
        <w:t xml:space="preserve"> and R101 in particular), the network would split into more groups, until it matched the size and number of components as the original study by Jolly and Wylie (2013). </w:t>
      </w:r>
      <w:r w:rsidR="005242DF">
        <w:rPr>
          <w:rFonts w:ascii="Times New Roman" w:hAnsi="Times New Roman" w:cs="Times New Roman"/>
          <w:sz w:val="24"/>
          <w:szCs w:val="24"/>
        </w:rPr>
        <w:t xml:space="preserve">Using social geography to establish network connections in this way demonstrates a larger connected community of people </w:t>
      </w:r>
      <w:r w:rsidR="00217526">
        <w:rPr>
          <w:rFonts w:ascii="Times New Roman" w:hAnsi="Times New Roman" w:cs="Times New Roman"/>
          <w:sz w:val="24"/>
          <w:szCs w:val="24"/>
        </w:rPr>
        <w:t>within the RDS sample not seen previously. This is supported by the density surface for the other large com</w:t>
      </w:r>
      <w:bookmarkStart w:id="0" w:name="_GoBack"/>
      <w:bookmarkEnd w:id="0"/>
      <w:r w:rsidR="00217526">
        <w:rPr>
          <w:rFonts w:ascii="Times New Roman" w:hAnsi="Times New Roman" w:cs="Times New Roman"/>
          <w:sz w:val="24"/>
          <w:szCs w:val="24"/>
        </w:rPr>
        <w:t>ponents (Figure 4). Only two of these networks inclu</w:t>
      </w:r>
      <w:r w:rsidR="002E0652">
        <w:rPr>
          <w:rFonts w:ascii="Times New Roman" w:hAnsi="Times New Roman" w:cs="Times New Roman"/>
          <w:sz w:val="24"/>
          <w:szCs w:val="24"/>
        </w:rPr>
        <w:t>de sites in the social topology</w:t>
      </w:r>
      <w:r w:rsidR="00217526">
        <w:rPr>
          <w:rFonts w:ascii="Times New Roman" w:hAnsi="Times New Roman" w:cs="Times New Roman"/>
          <w:sz w:val="24"/>
          <w:szCs w:val="24"/>
        </w:rPr>
        <w:t xml:space="preserve"> and in </w:t>
      </w:r>
      <w:r w:rsidR="002E0652">
        <w:rPr>
          <w:rFonts w:ascii="Times New Roman" w:hAnsi="Times New Roman" w:cs="Times New Roman"/>
          <w:sz w:val="24"/>
          <w:szCs w:val="24"/>
        </w:rPr>
        <w:t>all four instances, the surface focuses on individual points. These smaller network components lack any suggestion</w:t>
      </w:r>
      <w:r w:rsidR="007F7987">
        <w:rPr>
          <w:rFonts w:ascii="Times New Roman" w:hAnsi="Times New Roman" w:cs="Times New Roman"/>
          <w:sz w:val="24"/>
          <w:szCs w:val="24"/>
        </w:rPr>
        <w:t xml:space="preserve"> of a larger community with a focus</w:t>
      </w:r>
      <w:r w:rsidR="002E0652">
        <w:rPr>
          <w:rFonts w:ascii="Times New Roman" w:hAnsi="Times New Roman" w:cs="Times New Roman"/>
          <w:sz w:val="24"/>
          <w:szCs w:val="24"/>
        </w:rPr>
        <w:t xml:space="preserve"> of social activity </w:t>
      </w:r>
      <w:r w:rsidR="007F7987">
        <w:rPr>
          <w:rFonts w:ascii="Times New Roman" w:hAnsi="Times New Roman" w:cs="Times New Roman"/>
          <w:sz w:val="24"/>
          <w:szCs w:val="24"/>
        </w:rPr>
        <w:t>like that</w:t>
      </w:r>
      <w:r w:rsidR="002E0652">
        <w:rPr>
          <w:rFonts w:ascii="Times New Roman" w:hAnsi="Times New Roman" w:cs="Times New Roman"/>
          <w:sz w:val="24"/>
          <w:szCs w:val="24"/>
        </w:rPr>
        <w:t xml:space="preserve"> exhibited in Component 1. </w:t>
      </w:r>
    </w:p>
    <w:p w:rsidR="005242DF" w:rsidRDefault="002E0652" w:rsidP="00571969">
      <w:pPr>
        <w:jc w:val="both"/>
        <w:rPr>
          <w:rFonts w:ascii="Times New Roman" w:hAnsi="Times New Roman" w:cs="Times New Roman"/>
          <w:sz w:val="24"/>
          <w:szCs w:val="24"/>
        </w:rPr>
      </w:pPr>
      <w:r>
        <w:rPr>
          <w:rFonts w:ascii="Times New Roman" w:hAnsi="Times New Roman" w:cs="Times New Roman"/>
          <w:sz w:val="24"/>
          <w:szCs w:val="24"/>
        </w:rPr>
        <w:t xml:space="preserve">The </w:t>
      </w:r>
      <w:r w:rsidR="00A0704D">
        <w:rPr>
          <w:rFonts w:ascii="Times New Roman" w:hAnsi="Times New Roman" w:cs="Times New Roman"/>
          <w:sz w:val="24"/>
          <w:szCs w:val="24"/>
        </w:rPr>
        <w:t>presence of</w:t>
      </w:r>
      <w:r>
        <w:rPr>
          <w:rFonts w:ascii="Times New Roman" w:hAnsi="Times New Roman" w:cs="Times New Roman"/>
          <w:sz w:val="24"/>
          <w:szCs w:val="24"/>
        </w:rPr>
        <w:t xml:space="preserve"> over two-thirds of risk-related sites </w:t>
      </w:r>
      <w:r w:rsidR="00A0704D">
        <w:rPr>
          <w:rFonts w:ascii="Times New Roman" w:hAnsi="Times New Roman" w:cs="Times New Roman"/>
          <w:sz w:val="24"/>
          <w:szCs w:val="24"/>
        </w:rPr>
        <w:t xml:space="preserve">in Component 1 </w:t>
      </w:r>
      <w:r w:rsidR="00217526">
        <w:rPr>
          <w:rFonts w:ascii="Times New Roman" w:hAnsi="Times New Roman" w:cs="Times New Roman"/>
          <w:sz w:val="24"/>
          <w:szCs w:val="24"/>
        </w:rPr>
        <w:t>demonstrates the importance of gathering information on locations used in risk</w:t>
      </w:r>
      <w:r>
        <w:rPr>
          <w:rFonts w:ascii="Times New Roman" w:hAnsi="Times New Roman" w:cs="Times New Roman"/>
          <w:sz w:val="24"/>
          <w:szCs w:val="24"/>
        </w:rPr>
        <w:t xml:space="preserve">-related behaviours. As shown, a </w:t>
      </w:r>
      <w:r>
        <w:rPr>
          <w:rFonts w:ascii="Times New Roman" w:hAnsi="Times New Roman" w:cs="Times New Roman"/>
          <w:sz w:val="24"/>
          <w:szCs w:val="24"/>
        </w:rPr>
        <w:lastRenderedPageBreak/>
        <w:t>topology generated by minimal sites of activity suggests neighbourhoods or locations which improve the understanding of potential disease transmission.</w:t>
      </w:r>
      <w:r w:rsidR="00A0704D">
        <w:rPr>
          <w:rFonts w:ascii="Times New Roman" w:hAnsi="Times New Roman" w:cs="Times New Roman"/>
          <w:sz w:val="24"/>
          <w:szCs w:val="24"/>
        </w:rPr>
        <w:t xml:space="preserve"> Figure 5b stresses this overlap, where a concentration of people in the southwest and northeast areas of the downtown core indicate </w:t>
      </w:r>
      <w:r w:rsidR="007F7987">
        <w:rPr>
          <w:rFonts w:ascii="Times New Roman" w:hAnsi="Times New Roman" w:cs="Times New Roman"/>
          <w:sz w:val="24"/>
          <w:szCs w:val="24"/>
        </w:rPr>
        <w:t>overlap of</w:t>
      </w:r>
      <w:r w:rsidR="00A0704D">
        <w:rPr>
          <w:rFonts w:ascii="Times New Roman" w:hAnsi="Times New Roman" w:cs="Times New Roman"/>
          <w:sz w:val="24"/>
          <w:szCs w:val="24"/>
        </w:rPr>
        <w:t xml:space="preserve"> four (yellow) or all five (orange) of the largest components. These regions coincide with the neighbourhoods highlighted in the </w:t>
      </w:r>
      <w:r w:rsidR="00154651">
        <w:rPr>
          <w:rFonts w:ascii="Times New Roman" w:hAnsi="Times New Roman" w:cs="Times New Roman"/>
          <w:sz w:val="24"/>
          <w:szCs w:val="24"/>
        </w:rPr>
        <w:t xml:space="preserve">maps of social density. </w:t>
      </w:r>
      <w:r>
        <w:rPr>
          <w:rFonts w:ascii="Times New Roman" w:hAnsi="Times New Roman" w:cs="Times New Roman"/>
          <w:sz w:val="24"/>
          <w:szCs w:val="24"/>
        </w:rPr>
        <w:t>Most research involving spatial</w:t>
      </w:r>
      <w:r w:rsidR="00323A3E">
        <w:rPr>
          <w:rFonts w:ascii="Times New Roman" w:hAnsi="Times New Roman" w:cs="Times New Roman"/>
          <w:sz w:val="24"/>
          <w:szCs w:val="24"/>
        </w:rPr>
        <w:t xml:space="preserve"> analysis of infectious disease</w:t>
      </w:r>
      <w:r>
        <w:rPr>
          <w:rFonts w:ascii="Times New Roman" w:hAnsi="Times New Roman" w:cs="Times New Roman"/>
          <w:sz w:val="24"/>
          <w:szCs w:val="24"/>
        </w:rPr>
        <w:t xml:space="preserve"> has relied on temporally fixed residential addresses, but this </w:t>
      </w:r>
      <w:r w:rsidR="00323A3E">
        <w:rPr>
          <w:rFonts w:ascii="Times New Roman" w:hAnsi="Times New Roman" w:cs="Times New Roman"/>
          <w:sz w:val="24"/>
          <w:szCs w:val="24"/>
        </w:rPr>
        <w:t>strongly supports the</w:t>
      </w:r>
      <w:r>
        <w:rPr>
          <w:rFonts w:ascii="Times New Roman" w:hAnsi="Times New Roman" w:cs="Times New Roman"/>
          <w:sz w:val="24"/>
          <w:szCs w:val="24"/>
        </w:rPr>
        <w:t xml:space="preserve"> need for comprehensive collection of activity locations in epidemiological studies (Martinez </w:t>
      </w:r>
      <w:r>
        <w:rPr>
          <w:rFonts w:ascii="Times New Roman" w:hAnsi="Times New Roman" w:cs="Times New Roman"/>
          <w:i/>
          <w:sz w:val="24"/>
          <w:szCs w:val="24"/>
        </w:rPr>
        <w:t>et al.</w:t>
      </w:r>
      <w:r>
        <w:rPr>
          <w:rFonts w:ascii="Times New Roman" w:hAnsi="Times New Roman" w:cs="Times New Roman"/>
          <w:sz w:val="24"/>
          <w:szCs w:val="24"/>
        </w:rPr>
        <w:t xml:space="preserve">, 2013; </w:t>
      </w:r>
      <w:proofErr w:type="spellStart"/>
      <w:r>
        <w:rPr>
          <w:rFonts w:ascii="Times New Roman" w:hAnsi="Times New Roman" w:cs="Times New Roman"/>
          <w:sz w:val="24"/>
          <w:szCs w:val="24"/>
        </w:rPr>
        <w:t>Brouwer</w:t>
      </w:r>
      <w:proofErr w:type="spellEnd"/>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2013).</w:t>
      </w:r>
      <w:r w:rsidR="00154651">
        <w:rPr>
          <w:rFonts w:ascii="Times New Roman" w:hAnsi="Times New Roman" w:cs="Times New Roman"/>
          <w:sz w:val="24"/>
          <w:szCs w:val="24"/>
        </w:rPr>
        <w:t xml:space="preserve"> Figure 5b and the position of high-</w:t>
      </w:r>
      <w:proofErr w:type="spellStart"/>
      <w:r w:rsidR="00154651">
        <w:rPr>
          <w:rFonts w:ascii="Times New Roman" w:hAnsi="Times New Roman" w:cs="Times New Roman"/>
          <w:sz w:val="24"/>
          <w:szCs w:val="24"/>
        </w:rPr>
        <w:t>betweenness</w:t>
      </w:r>
      <w:proofErr w:type="spellEnd"/>
      <w:r w:rsidR="00154651">
        <w:rPr>
          <w:rFonts w:ascii="Times New Roman" w:hAnsi="Times New Roman" w:cs="Times New Roman"/>
          <w:sz w:val="24"/>
          <w:szCs w:val="24"/>
        </w:rPr>
        <w:t xml:space="preserve"> sites in Figure 5c suggest that additional information from participants could potentially link other components to Component 1.</w:t>
      </w:r>
    </w:p>
    <w:p w:rsidR="00A0704D" w:rsidRPr="00A0704D" w:rsidRDefault="00A0704D" w:rsidP="00A0704D">
      <w:pPr>
        <w:pStyle w:val="Caption"/>
        <w:keepNext/>
        <w:jc w:val="both"/>
        <w:rPr>
          <w:rFonts w:ascii="Times New Roman" w:hAnsi="Times New Roman" w:cs="Times New Roman"/>
          <w:sz w:val="24"/>
          <w:szCs w:val="24"/>
        </w:rPr>
      </w:pPr>
      <w:proofErr w:type="gramStart"/>
      <w:r w:rsidRPr="00A0704D">
        <w:rPr>
          <w:rFonts w:ascii="Times New Roman" w:hAnsi="Times New Roman" w:cs="Times New Roman"/>
          <w:color w:val="auto"/>
          <w:sz w:val="24"/>
          <w:szCs w:val="24"/>
        </w:rPr>
        <w:t xml:space="preserve">Figure </w:t>
      </w:r>
      <w:r w:rsidR="003B1A1A" w:rsidRPr="00A0704D">
        <w:rPr>
          <w:rFonts w:ascii="Times New Roman" w:hAnsi="Times New Roman" w:cs="Times New Roman"/>
          <w:color w:val="auto"/>
          <w:sz w:val="24"/>
          <w:szCs w:val="24"/>
        </w:rPr>
        <w:fldChar w:fldCharType="begin"/>
      </w:r>
      <w:r w:rsidRPr="00A0704D">
        <w:rPr>
          <w:rFonts w:ascii="Times New Roman" w:hAnsi="Times New Roman" w:cs="Times New Roman"/>
          <w:color w:val="auto"/>
          <w:sz w:val="24"/>
          <w:szCs w:val="24"/>
        </w:rPr>
        <w:instrText xml:space="preserve"> SEQ Figure \* ARABIC </w:instrText>
      </w:r>
      <w:r w:rsidR="003B1A1A" w:rsidRPr="00A0704D">
        <w:rPr>
          <w:rFonts w:ascii="Times New Roman" w:hAnsi="Times New Roman" w:cs="Times New Roman"/>
          <w:color w:val="auto"/>
          <w:sz w:val="24"/>
          <w:szCs w:val="24"/>
        </w:rPr>
        <w:fldChar w:fldCharType="separate"/>
      </w:r>
      <w:r w:rsidR="006E71D8">
        <w:rPr>
          <w:rFonts w:ascii="Times New Roman" w:hAnsi="Times New Roman" w:cs="Times New Roman"/>
          <w:noProof/>
          <w:color w:val="auto"/>
          <w:sz w:val="24"/>
          <w:szCs w:val="24"/>
        </w:rPr>
        <w:t>5</w:t>
      </w:r>
      <w:r w:rsidR="003B1A1A" w:rsidRPr="00A0704D">
        <w:rPr>
          <w:rFonts w:ascii="Times New Roman" w:hAnsi="Times New Roman" w:cs="Times New Roman"/>
          <w:color w:val="auto"/>
          <w:sz w:val="24"/>
          <w:szCs w:val="24"/>
        </w:rPr>
        <w:fldChar w:fldCharType="end"/>
      </w:r>
      <w:r w:rsidRPr="00A0704D">
        <w:rPr>
          <w:rFonts w:ascii="Times New Roman" w:hAnsi="Times New Roman" w:cs="Times New Roman"/>
          <w:color w:val="auto"/>
          <w:sz w:val="24"/>
          <w:szCs w:val="24"/>
        </w:rPr>
        <w:t>.</w:t>
      </w:r>
      <w:proofErr w:type="gramEnd"/>
      <w:r w:rsidRPr="00A0704D">
        <w:rPr>
          <w:rFonts w:ascii="Times New Roman" w:hAnsi="Times New Roman" w:cs="Times New Roman"/>
          <w:color w:val="auto"/>
          <w:sz w:val="24"/>
          <w:szCs w:val="24"/>
        </w:rPr>
        <w:t xml:space="preserve"> </w:t>
      </w:r>
      <w:proofErr w:type="gramStart"/>
      <w:r w:rsidRPr="00A0704D">
        <w:rPr>
          <w:rFonts w:ascii="Times New Roman" w:hAnsi="Times New Roman" w:cs="Times New Roman"/>
          <w:b w:val="0"/>
          <w:color w:val="auto"/>
          <w:sz w:val="24"/>
          <w:szCs w:val="24"/>
        </w:rPr>
        <w:t>Spatial co-incidence of components for (A) the entire study area.</w:t>
      </w:r>
      <w:proofErr w:type="gramEnd"/>
      <w:r w:rsidRPr="00A0704D">
        <w:rPr>
          <w:rFonts w:ascii="Times New Roman" w:hAnsi="Times New Roman" w:cs="Times New Roman"/>
          <w:b w:val="0"/>
          <w:color w:val="auto"/>
          <w:sz w:val="24"/>
          <w:szCs w:val="24"/>
        </w:rPr>
        <w:t xml:space="preserve"> The downtown core highlights (B) the number of components at each set of coordinates and (C) the position of high-</w:t>
      </w:r>
      <w:proofErr w:type="spellStart"/>
      <w:r w:rsidRPr="00A0704D">
        <w:rPr>
          <w:rFonts w:ascii="Times New Roman" w:hAnsi="Times New Roman" w:cs="Times New Roman"/>
          <w:b w:val="0"/>
          <w:color w:val="auto"/>
          <w:sz w:val="24"/>
          <w:szCs w:val="24"/>
        </w:rPr>
        <w:t>betweenness</w:t>
      </w:r>
      <w:proofErr w:type="spellEnd"/>
      <w:r w:rsidRPr="00A0704D">
        <w:rPr>
          <w:rFonts w:ascii="Times New Roman" w:hAnsi="Times New Roman" w:cs="Times New Roman"/>
          <w:b w:val="0"/>
          <w:color w:val="auto"/>
          <w:sz w:val="24"/>
          <w:szCs w:val="24"/>
        </w:rPr>
        <w:t xml:space="preserve"> nodes across all five large components.</w:t>
      </w:r>
    </w:p>
    <w:p w:rsidR="00E50844" w:rsidRPr="00E50844" w:rsidRDefault="00A0704D" w:rsidP="00571969">
      <w:pPr>
        <w:jc w:val="both"/>
        <w:rPr>
          <w:rFonts w:ascii="Times New Roman" w:hAnsi="Times New Roman" w:cs="Times New Roman"/>
          <w:color w:val="1F497D" w:themeColor="text2"/>
          <w:sz w:val="24"/>
          <w:szCs w:val="24"/>
        </w:rPr>
      </w:pPr>
      <w:r>
        <w:rPr>
          <w:rFonts w:ascii="Times New Roman" w:hAnsi="Times New Roman" w:cs="Times New Roman"/>
          <w:noProof/>
          <w:color w:val="1F497D" w:themeColor="text2"/>
          <w:sz w:val="24"/>
          <w:szCs w:val="24"/>
          <w:lang w:val="en-US"/>
        </w:rPr>
        <w:drawing>
          <wp:inline distT="0" distB="0" distL="0" distR="0">
            <wp:extent cx="5943600" cy="3343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mponentLocations.jpg"/>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3343275"/>
                    </a:xfrm>
                    <a:prstGeom prst="rect">
                      <a:avLst/>
                    </a:prstGeom>
                  </pic:spPr>
                </pic:pic>
              </a:graphicData>
            </a:graphic>
          </wp:inline>
        </w:drawing>
      </w:r>
    </w:p>
    <w:p w:rsidR="00B32FC5" w:rsidRPr="00B32FC5" w:rsidRDefault="00B32FC5" w:rsidP="00B32FC5">
      <w:pPr>
        <w:pStyle w:val="Heading3"/>
      </w:pPr>
      <w:r>
        <w:t>Limitations</w:t>
      </w:r>
    </w:p>
    <w:p w:rsidR="00075A78" w:rsidRDefault="00B32FC5" w:rsidP="00075A78">
      <w:pPr>
        <w:rPr>
          <w:rFonts w:ascii="Times New Roman" w:hAnsi="Times New Roman" w:cs="Times New Roman"/>
          <w:sz w:val="24"/>
          <w:szCs w:val="24"/>
        </w:rPr>
      </w:pPr>
      <w:r w:rsidRPr="00075A78">
        <w:rPr>
          <w:rFonts w:ascii="Times New Roman" w:hAnsi="Times New Roman" w:cs="Times New Roman"/>
          <w:sz w:val="24"/>
          <w:szCs w:val="24"/>
        </w:rPr>
        <w:t xml:space="preserve">There are limitations to this approach </w:t>
      </w:r>
      <w:r w:rsidR="00075A78">
        <w:rPr>
          <w:rFonts w:ascii="Times New Roman" w:hAnsi="Times New Roman" w:cs="Times New Roman"/>
          <w:sz w:val="24"/>
          <w:szCs w:val="24"/>
        </w:rPr>
        <w:t>in</w:t>
      </w:r>
      <w:r w:rsidRPr="00075A78">
        <w:rPr>
          <w:rFonts w:ascii="Times New Roman" w:hAnsi="Times New Roman" w:cs="Times New Roman"/>
          <w:sz w:val="24"/>
          <w:szCs w:val="24"/>
        </w:rPr>
        <w:t xml:space="preserve"> the nature of the </w:t>
      </w:r>
      <w:r w:rsidR="00192AC4" w:rsidRPr="00075A78">
        <w:rPr>
          <w:rFonts w:ascii="Times New Roman" w:hAnsi="Times New Roman" w:cs="Times New Roman"/>
          <w:sz w:val="24"/>
          <w:szCs w:val="24"/>
        </w:rPr>
        <w:t>RDS</w:t>
      </w:r>
      <w:r w:rsidRPr="00075A78">
        <w:rPr>
          <w:rFonts w:ascii="Times New Roman" w:hAnsi="Times New Roman" w:cs="Times New Roman"/>
          <w:sz w:val="24"/>
          <w:szCs w:val="24"/>
        </w:rPr>
        <w:t xml:space="preserve"> sample. Foremost, connections between a respondent and m</w:t>
      </w:r>
      <w:r w:rsidR="00075A78" w:rsidRPr="00075A78">
        <w:rPr>
          <w:rFonts w:ascii="Times New Roman" w:hAnsi="Times New Roman" w:cs="Times New Roman"/>
          <w:sz w:val="24"/>
          <w:szCs w:val="24"/>
        </w:rPr>
        <w:t>ore than two people</w:t>
      </w:r>
      <w:r w:rsidRPr="00075A78">
        <w:rPr>
          <w:rFonts w:ascii="Times New Roman" w:hAnsi="Times New Roman" w:cs="Times New Roman"/>
          <w:sz w:val="24"/>
          <w:szCs w:val="24"/>
        </w:rPr>
        <w:t xml:space="preserve"> will only occur if </w:t>
      </w:r>
      <w:r w:rsidR="00075A78" w:rsidRPr="00075A78">
        <w:rPr>
          <w:rFonts w:ascii="Times New Roman" w:hAnsi="Times New Roman" w:cs="Times New Roman"/>
          <w:sz w:val="24"/>
          <w:szCs w:val="24"/>
        </w:rPr>
        <w:t>multiple coupon recipients</w:t>
      </w:r>
      <w:r w:rsidRPr="00075A78">
        <w:rPr>
          <w:rFonts w:ascii="Times New Roman" w:hAnsi="Times New Roman" w:cs="Times New Roman"/>
          <w:sz w:val="24"/>
          <w:szCs w:val="24"/>
        </w:rPr>
        <w:t xml:space="preserve"> submitted to the study</w:t>
      </w:r>
      <w:r w:rsidR="00970551">
        <w:rPr>
          <w:rFonts w:ascii="Times New Roman" w:hAnsi="Times New Roman" w:cs="Times New Roman"/>
          <w:sz w:val="24"/>
          <w:szCs w:val="24"/>
        </w:rPr>
        <w:t xml:space="preserve">, leading to an underestimation of one-degree links and overestimation of connections made through multiple degrees (Rudolph </w:t>
      </w:r>
      <w:r w:rsidR="00970551">
        <w:rPr>
          <w:rFonts w:ascii="Times New Roman" w:hAnsi="Times New Roman" w:cs="Times New Roman"/>
          <w:i/>
          <w:sz w:val="24"/>
          <w:szCs w:val="24"/>
        </w:rPr>
        <w:t>et al.</w:t>
      </w:r>
      <w:r w:rsidR="00970551">
        <w:rPr>
          <w:rFonts w:ascii="Times New Roman" w:hAnsi="Times New Roman" w:cs="Times New Roman"/>
          <w:sz w:val="24"/>
          <w:szCs w:val="24"/>
        </w:rPr>
        <w:t>, 2013)</w:t>
      </w:r>
      <w:r w:rsidRPr="00075A78">
        <w:rPr>
          <w:rFonts w:ascii="Times New Roman" w:hAnsi="Times New Roman" w:cs="Times New Roman"/>
          <w:sz w:val="24"/>
          <w:szCs w:val="24"/>
        </w:rPr>
        <w:t>. Likewise, survey questions only asked what site or sites were used most frequently for risk-related behaviours in the previous six months.</w:t>
      </w:r>
      <w:r w:rsidRPr="00865A5B">
        <w:rPr>
          <w:rFonts w:ascii="Times New Roman" w:hAnsi="Times New Roman" w:cs="Times New Roman"/>
          <w:color w:val="FF0000"/>
          <w:sz w:val="24"/>
          <w:szCs w:val="24"/>
        </w:rPr>
        <w:t xml:space="preserve"> </w:t>
      </w:r>
      <w:r w:rsidR="00210528" w:rsidRPr="006F1316">
        <w:rPr>
          <w:rFonts w:ascii="Times New Roman" w:hAnsi="Times New Roman" w:cs="Times New Roman"/>
          <w:sz w:val="24"/>
          <w:szCs w:val="24"/>
        </w:rPr>
        <w:t xml:space="preserve">Although the study was conducted by a healthcare worker trusted by many participants, the potential for bias through self-reporting of personal risk behaviours exists. </w:t>
      </w:r>
    </w:p>
    <w:p w:rsidR="002173D1" w:rsidRPr="00075A78" w:rsidRDefault="00210528" w:rsidP="00075A78">
      <w:pPr>
        <w:rPr>
          <w:rFonts w:ascii="Times New Roman" w:hAnsi="Times New Roman" w:cs="Times New Roman"/>
          <w:color w:val="FF0000"/>
          <w:sz w:val="24"/>
          <w:szCs w:val="24"/>
        </w:rPr>
      </w:pPr>
      <w:r w:rsidRPr="006F1316">
        <w:rPr>
          <w:rFonts w:ascii="Times New Roman" w:hAnsi="Times New Roman" w:cs="Times New Roman"/>
          <w:sz w:val="24"/>
          <w:szCs w:val="24"/>
        </w:rPr>
        <w:lastRenderedPageBreak/>
        <w:t xml:space="preserve">The number of answers permitted or encouraged may also present opportunities for bias. </w:t>
      </w:r>
      <w:r w:rsidR="003D04A4" w:rsidRPr="006F1316">
        <w:rPr>
          <w:rFonts w:ascii="Times New Roman" w:hAnsi="Times New Roman" w:cs="Times New Roman"/>
          <w:sz w:val="24"/>
          <w:szCs w:val="24"/>
        </w:rPr>
        <w:t>Only 1</w:t>
      </w:r>
      <w:r w:rsidRPr="006F1316">
        <w:rPr>
          <w:rFonts w:ascii="Times New Roman" w:hAnsi="Times New Roman" w:cs="Times New Roman"/>
          <w:sz w:val="24"/>
          <w:szCs w:val="24"/>
        </w:rPr>
        <w:t>4</w:t>
      </w:r>
      <w:r w:rsidR="003D04A4" w:rsidRPr="006F1316">
        <w:rPr>
          <w:rFonts w:ascii="Times New Roman" w:hAnsi="Times New Roman" w:cs="Times New Roman"/>
          <w:sz w:val="24"/>
          <w:szCs w:val="24"/>
        </w:rPr>
        <w:t xml:space="preserve">% of respondents that named a location identified more than one. </w:t>
      </w:r>
      <w:r w:rsidRPr="006F1316">
        <w:rPr>
          <w:rFonts w:ascii="Times New Roman" w:hAnsi="Times New Roman" w:cs="Times New Roman"/>
          <w:sz w:val="24"/>
          <w:szCs w:val="24"/>
        </w:rPr>
        <w:t>Nine</w:t>
      </w:r>
      <w:r w:rsidR="003D04A4" w:rsidRPr="006F1316">
        <w:rPr>
          <w:rFonts w:ascii="Times New Roman" w:hAnsi="Times New Roman" w:cs="Times New Roman"/>
          <w:sz w:val="24"/>
          <w:szCs w:val="24"/>
        </w:rPr>
        <w:t xml:space="preserve"> people answered “all over” </w:t>
      </w:r>
      <w:r w:rsidR="00F04756" w:rsidRPr="006F1316">
        <w:rPr>
          <w:rFonts w:ascii="Times New Roman" w:hAnsi="Times New Roman" w:cs="Times New Roman"/>
          <w:sz w:val="24"/>
          <w:szCs w:val="24"/>
        </w:rPr>
        <w:t xml:space="preserve">to </w:t>
      </w:r>
      <w:r w:rsidR="00075A78">
        <w:rPr>
          <w:rFonts w:ascii="Times New Roman" w:hAnsi="Times New Roman" w:cs="Times New Roman"/>
          <w:sz w:val="24"/>
          <w:szCs w:val="24"/>
        </w:rPr>
        <w:t>questions about location</w:t>
      </w:r>
      <w:r w:rsidR="00F04756" w:rsidRPr="006F1316">
        <w:rPr>
          <w:rFonts w:ascii="Times New Roman" w:hAnsi="Times New Roman" w:cs="Times New Roman"/>
          <w:sz w:val="24"/>
          <w:szCs w:val="24"/>
        </w:rPr>
        <w:t xml:space="preserve"> </w:t>
      </w:r>
      <w:r w:rsidR="003D04A4" w:rsidRPr="006F1316">
        <w:rPr>
          <w:rFonts w:ascii="Times New Roman" w:hAnsi="Times New Roman" w:cs="Times New Roman"/>
          <w:sz w:val="24"/>
          <w:szCs w:val="24"/>
        </w:rPr>
        <w:t xml:space="preserve">and another </w:t>
      </w:r>
      <w:r w:rsidR="00F04756" w:rsidRPr="006F1316">
        <w:rPr>
          <w:rFonts w:ascii="Times New Roman" w:hAnsi="Times New Roman" w:cs="Times New Roman"/>
          <w:sz w:val="24"/>
          <w:szCs w:val="24"/>
        </w:rPr>
        <w:t>four</w:t>
      </w:r>
      <w:r w:rsidR="003D04A4" w:rsidRPr="006F1316">
        <w:rPr>
          <w:rFonts w:ascii="Times New Roman" w:hAnsi="Times New Roman" w:cs="Times New Roman"/>
          <w:sz w:val="24"/>
          <w:szCs w:val="24"/>
        </w:rPr>
        <w:t xml:space="preserve"> refused to name any sites. </w:t>
      </w:r>
      <w:r w:rsidR="00F04756" w:rsidRPr="006F1316">
        <w:rPr>
          <w:rFonts w:ascii="Times New Roman" w:hAnsi="Times New Roman" w:cs="Times New Roman"/>
          <w:sz w:val="24"/>
          <w:szCs w:val="24"/>
        </w:rPr>
        <w:t xml:space="preserve">While it has been shown that vulnerable populations achieve </w:t>
      </w:r>
      <w:r w:rsidR="00075A78">
        <w:rPr>
          <w:rFonts w:ascii="Times New Roman" w:hAnsi="Times New Roman" w:cs="Times New Roman"/>
          <w:sz w:val="24"/>
          <w:szCs w:val="24"/>
        </w:rPr>
        <w:t>a perception of</w:t>
      </w:r>
      <w:r w:rsidR="00F04756" w:rsidRPr="006F1316">
        <w:rPr>
          <w:rFonts w:ascii="Times New Roman" w:hAnsi="Times New Roman" w:cs="Times New Roman"/>
          <w:sz w:val="24"/>
          <w:szCs w:val="24"/>
        </w:rPr>
        <w:t xml:space="preserve"> minimal risk by having smaller activity spaces (Martinez </w:t>
      </w:r>
      <w:r w:rsidR="00F04756" w:rsidRPr="006F1316">
        <w:rPr>
          <w:rFonts w:ascii="Times New Roman" w:hAnsi="Times New Roman" w:cs="Times New Roman"/>
          <w:i/>
          <w:sz w:val="24"/>
          <w:szCs w:val="24"/>
        </w:rPr>
        <w:t>et al.</w:t>
      </w:r>
      <w:r w:rsidR="00F04756" w:rsidRPr="006F1316">
        <w:rPr>
          <w:rFonts w:ascii="Times New Roman" w:hAnsi="Times New Roman" w:cs="Times New Roman"/>
          <w:sz w:val="24"/>
          <w:szCs w:val="24"/>
        </w:rPr>
        <w:t xml:space="preserve">, 2013), assembling a social topology should endeavour to capture as much information on individuals’ participation in activity space as possible. </w:t>
      </w:r>
      <w:r w:rsidR="00865A5B" w:rsidRPr="006F1316">
        <w:rPr>
          <w:rFonts w:ascii="Times New Roman" w:hAnsi="Times New Roman" w:cs="Times New Roman"/>
          <w:sz w:val="24"/>
          <w:szCs w:val="24"/>
        </w:rPr>
        <w:t>Even with generalized geographic descriptions like nearest intersections, more complete personal activity histories will identify overlap in sites where risk is shared.</w:t>
      </w:r>
      <w:r w:rsidR="00865A5B">
        <w:rPr>
          <w:rFonts w:ascii="Times New Roman" w:hAnsi="Times New Roman" w:cs="Times New Roman"/>
          <w:color w:val="1F497D" w:themeColor="text2"/>
          <w:sz w:val="24"/>
          <w:szCs w:val="24"/>
        </w:rPr>
        <w:t xml:space="preserve"> </w:t>
      </w:r>
      <w:r w:rsidR="00F04756">
        <w:rPr>
          <w:rFonts w:ascii="Times New Roman" w:hAnsi="Times New Roman" w:cs="Times New Roman"/>
          <w:color w:val="1F497D" w:themeColor="text2"/>
          <w:sz w:val="24"/>
          <w:szCs w:val="24"/>
        </w:rPr>
        <w:t xml:space="preserve"> </w:t>
      </w:r>
    </w:p>
    <w:p w:rsidR="00A40C5A" w:rsidRDefault="00A40C5A" w:rsidP="00571969">
      <w:pPr>
        <w:jc w:val="both"/>
        <w:rPr>
          <w:rFonts w:ascii="Times New Roman" w:hAnsi="Times New Roman" w:cs="Times New Roman"/>
          <w:sz w:val="24"/>
          <w:szCs w:val="24"/>
        </w:rPr>
      </w:pPr>
      <w:r w:rsidRPr="006F1316">
        <w:rPr>
          <w:rFonts w:ascii="Times New Roman" w:hAnsi="Times New Roman" w:cs="Times New Roman"/>
          <w:sz w:val="24"/>
          <w:szCs w:val="24"/>
        </w:rPr>
        <w:t xml:space="preserve">As noted in previous research into the risk spaces of vulnerable populations, future studies should collect more detailed information from participants about the geographic locations of risk behaviours (Martinez </w:t>
      </w:r>
      <w:r w:rsidRPr="006F1316">
        <w:rPr>
          <w:rFonts w:ascii="Times New Roman" w:hAnsi="Times New Roman" w:cs="Times New Roman"/>
          <w:i/>
          <w:sz w:val="24"/>
          <w:szCs w:val="24"/>
        </w:rPr>
        <w:t>et al</w:t>
      </w:r>
      <w:r w:rsidRPr="006F1316">
        <w:rPr>
          <w:rFonts w:ascii="Times New Roman" w:hAnsi="Times New Roman" w:cs="Times New Roman"/>
          <w:sz w:val="24"/>
          <w:szCs w:val="24"/>
        </w:rPr>
        <w:t>., 2013).</w:t>
      </w:r>
      <w:r w:rsidR="002173D1" w:rsidRPr="002173D1">
        <w:rPr>
          <w:rFonts w:ascii="Times New Roman" w:hAnsi="Times New Roman" w:cs="Times New Roman"/>
          <w:b/>
          <w:color w:val="1F497D" w:themeColor="text2"/>
          <w:sz w:val="24"/>
          <w:szCs w:val="24"/>
        </w:rPr>
        <w:t xml:space="preserve"> </w:t>
      </w:r>
      <w:r w:rsidR="002173D1" w:rsidRPr="00937C31">
        <w:rPr>
          <w:rFonts w:ascii="Times New Roman" w:hAnsi="Times New Roman" w:cs="Times New Roman"/>
          <w:sz w:val="24"/>
          <w:szCs w:val="24"/>
        </w:rPr>
        <w:t xml:space="preserve">The context of </w:t>
      </w:r>
      <w:r w:rsidR="006F1316" w:rsidRPr="00937C31">
        <w:rPr>
          <w:rFonts w:ascii="Times New Roman" w:hAnsi="Times New Roman" w:cs="Times New Roman"/>
          <w:sz w:val="24"/>
          <w:szCs w:val="24"/>
        </w:rPr>
        <w:t xml:space="preserve">timing and </w:t>
      </w:r>
      <w:r w:rsidR="002173D1" w:rsidRPr="00937C31">
        <w:rPr>
          <w:rFonts w:ascii="Times New Roman" w:hAnsi="Times New Roman" w:cs="Times New Roman"/>
          <w:sz w:val="24"/>
          <w:szCs w:val="24"/>
        </w:rPr>
        <w:t xml:space="preserve">how frequently participants </w:t>
      </w:r>
      <w:r w:rsidR="006F13F7" w:rsidRPr="00937C31">
        <w:rPr>
          <w:rFonts w:ascii="Times New Roman" w:hAnsi="Times New Roman" w:cs="Times New Roman"/>
          <w:sz w:val="24"/>
          <w:szCs w:val="24"/>
        </w:rPr>
        <w:t>visit locations is a dimension of the social topology of vulnerable peoples that needs further investigation.</w:t>
      </w:r>
      <w:r w:rsidR="006F1316" w:rsidRPr="00937C31">
        <w:rPr>
          <w:rFonts w:ascii="Times New Roman" w:hAnsi="Times New Roman" w:cs="Times New Roman"/>
          <w:sz w:val="24"/>
          <w:szCs w:val="24"/>
        </w:rPr>
        <w:t xml:space="preserve"> Furthermore, it should be noted that while the use of space in social network data established otherwise missing connections, participants may not make habitual visits to the same venues. People who do visit the same location may not do so simultaneously or together. This exploratory approach uses generalized spatial information to represent connections through place, and </w:t>
      </w:r>
      <w:r>
        <w:rPr>
          <w:rFonts w:ascii="Times New Roman" w:hAnsi="Times New Roman" w:cs="Times New Roman"/>
          <w:sz w:val="24"/>
          <w:szCs w:val="24"/>
        </w:rPr>
        <w:t xml:space="preserve">demonstrates </w:t>
      </w:r>
      <w:r w:rsidR="006F1316" w:rsidRPr="00937C31">
        <w:rPr>
          <w:rFonts w:ascii="Times New Roman" w:hAnsi="Times New Roman" w:cs="Times New Roman"/>
          <w:sz w:val="24"/>
          <w:szCs w:val="24"/>
        </w:rPr>
        <w:t>a cohesive community at work in the RDS. More detailed records of participants’ activity space could be used to verify this finding.</w:t>
      </w:r>
      <w:r w:rsidR="00937C31">
        <w:rPr>
          <w:rFonts w:ascii="Times New Roman" w:hAnsi="Times New Roman" w:cs="Times New Roman"/>
          <w:sz w:val="24"/>
          <w:szCs w:val="24"/>
        </w:rPr>
        <w:t xml:space="preserve"> </w:t>
      </w:r>
    </w:p>
    <w:p w:rsidR="00075A78" w:rsidRPr="00A40C5A" w:rsidRDefault="00075A78" w:rsidP="00571969">
      <w:pPr>
        <w:jc w:val="both"/>
        <w:rPr>
          <w:rFonts w:ascii="Times New Roman" w:hAnsi="Times New Roman" w:cs="Times New Roman"/>
          <w:b/>
          <w:sz w:val="24"/>
          <w:szCs w:val="24"/>
        </w:rPr>
      </w:pPr>
      <w:r w:rsidRPr="00A40C5A">
        <w:rPr>
          <w:rFonts w:ascii="Times New Roman" w:hAnsi="Times New Roman" w:cs="Times New Roman"/>
          <w:sz w:val="24"/>
          <w:szCs w:val="24"/>
        </w:rPr>
        <w:t xml:space="preserve">The spatial precision of the model is also affected by the inexact nature of the response formats. Some respondents provided the closest pairing of major cross streets to where they lived, injected drugs, or looked for commercial sex; others provided names of smaller local, or ‘side’, streets. It is impossible to determine exactly what degree of error is introduced by open-ended questions that allow identification through the “nearest intersection”. </w:t>
      </w:r>
      <w:r w:rsidR="00A40C5A" w:rsidRPr="00A40C5A">
        <w:rPr>
          <w:rFonts w:ascii="Times New Roman" w:hAnsi="Times New Roman" w:cs="Times New Roman"/>
          <w:sz w:val="24"/>
          <w:szCs w:val="24"/>
        </w:rPr>
        <w:t xml:space="preserve">This could be overcome by adopting the interactive method of identifying sites through landmarks used by </w:t>
      </w:r>
      <w:proofErr w:type="spellStart"/>
      <w:r w:rsidR="00A40C5A" w:rsidRPr="00A40C5A">
        <w:rPr>
          <w:rFonts w:ascii="Times New Roman" w:hAnsi="Times New Roman" w:cs="Times New Roman"/>
          <w:sz w:val="24"/>
          <w:szCs w:val="24"/>
        </w:rPr>
        <w:t>Brouwer</w:t>
      </w:r>
      <w:proofErr w:type="spellEnd"/>
      <w:r w:rsidR="00A40C5A" w:rsidRPr="00A40C5A">
        <w:rPr>
          <w:rFonts w:ascii="Times New Roman" w:hAnsi="Times New Roman" w:cs="Times New Roman"/>
          <w:sz w:val="24"/>
          <w:szCs w:val="24"/>
        </w:rPr>
        <w:t xml:space="preserve"> </w:t>
      </w:r>
      <w:r w:rsidR="00A40C5A" w:rsidRPr="00A40C5A">
        <w:rPr>
          <w:rFonts w:ascii="Times New Roman" w:hAnsi="Times New Roman" w:cs="Times New Roman"/>
          <w:i/>
          <w:sz w:val="24"/>
          <w:szCs w:val="24"/>
        </w:rPr>
        <w:t>et al.</w:t>
      </w:r>
      <w:r w:rsidR="00A40C5A" w:rsidRPr="00A40C5A">
        <w:rPr>
          <w:rFonts w:ascii="Times New Roman" w:hAnsi="Times New Roman" w:cs="Times New Roman"/>
          <w:sz w:val="24"/>
          <w:szCs w:val="24"/>
        </w:rPr>
        <w:t xml:space="preserve"> (2013). Future methodologies could address both issues of spatial context and precision, and assess sites individuals have prolonged, direct contact with, by leveraging personal activity journals or smartphone GPS. Prefaced with the value of identifying areas of highest social risk through which diseases may pass, individuals may be willing to better identify sites.</w:t>
      </w:r>
    </w:p>
    <w:p w:rsidR="007F7987" w:rsidRPr="007F7987" w:rsidRDefault="007F7987" w:rsidP="007F7987">
      <w:pPr>
        <w:pStyle w:val="Heading2"/>
        <w:rPr>
          <w:color w:val="auto"/>
        </w:rPr>
      </w:pPr>
      <w:r w:rsidRPr="007F7987">
        <w:rPr>
          <w:color w:val="auto"/>
        </w:rPr>
        <w:t>Conclusions</w:t>
      </w:r>
    </w:p>
    <w:p w:rsidR="00B32FC5" w:rsidRPr="00554DD5" w:rsidRDefault="00B32FC5" w:rsidP="00B32FC5">
      <w:pPr>
        <w:jc w:val="both"/>
        <w:rPr>
          <w:rFonts w:ascii="Times New Roman" w:hAnsi="Times New Roman" w:cs="Times New Roman"/>
          <w:sz w:val="24"/>
          <w:szCs w:val="24"/>
        </w:rPr>
      </w:pPr>
      <w:r>
        <w:rPr>
          <w:rFonts w:ascii="Times New Roman" w:hAnsi="Times New Roman" w:cs="Times New Roman"/>
          <w:sz w:val="24"/>
          <w:szCs w:val="24"/>
        </w:rPr>
        <w:t xml:space="preserve">Previous work on the geography of STI and BBP epidemiology has used a combination of line </w:t>
      </w:r>
      <w:proofErr w:type="spellStart"/>
      <w:r>
        <w:rPr>
          <w:rFonts w:ascii="Times New Roman" w:hAnsi="Times New Roman" w:cs="Times New Roman"/>
          <w:sz w:val="24"/>
          <w:szCs w:val="24"/>
        </w:rPr>
        <w:t>symbology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chloropleths</w:t>
      </w:r>
      <w:proofErr w:type="spellEnd"/>
      <w:r>
        <w:rPr>
          <w:rFonts w:ascii="Times New Roman" w:hAnsi="Times New Roman" w:cs="Times New Roman"/>
          <w:sz w:val="24"/>
          <w:szCs w:val="24"/>
        </w:rPr>
        <w:t xml:space="preserve"> (maps that assign graded coloring schemes to differentiate between characteristics of areal units) to depict patterns in disease (Rothenberg et al, 2005; Rothenberg, 1983; </w:t>
      </w:r>
      <w:proofErr w:type="spellStart"/>
      <w:r>
        <w:rPr>
          <w:rFonts w:ascii="Times New Roman" w:hAnsi="Times New Roman" w:cs="Times New Roman"/>
          <w:sz w:val="24"/>
          <w:szCs w:val="24"/>
        </w:rPr>
        <w:t>Potterat</w:t>
      </w:r>
      <w:proofErr w:type="spellEnd"/>
      <w:r>
        <w:rPr>
          <w:rFonts w:ascii="Times New Roman" w:hAnsi="Times New Roman" w:cs="Times New Roman"/>
          <w:sz w:val="24"/>
          <w:szCs w:val="24"/>
        </w:rPr>
        <w:t xml:space="preserve"> et al, 1985). While the visualization of social network edges illustrates how social distance is covered geographically, lost in the density of links is which locations are most active. We expanded this thinking to identify areas of risk by including locations where risk behaviours are in evidence as part of the social network data.</w:t>
      </w:r>
      <w:r w:rsidR="00A40C5A">
        <w:rPr>
          <w:rFonts w:ascii="Times New Roman" w:hAnsi="Times New Roman" w:cs="Times New Roman"/>
          <w:sz w:val="24"/>
          <w:szCs w:val="24"/>
        </w:rPr>
        <w:t xml:space="preserve"> Our findings support other work that has identified </w:t>
      </w:r>
      <w:r w:rsidR="00554DD5">
        <w:rPr>
          <w:rFonts w:ascii="Times New Roman" w:hAnsi="Times New Roman" w:cs="Times New Roman"/>
          <w:sz w:val="24"/>
          <w:szCs w:val="24"/>
        </w:rPr>
        <w:t xml:space="preserve">short distances or small activity spaces among communities of vulnerable people </w:t>
      </w:r>
      <w:r w:rsidR="00554DD5">
        <w:rPr>
          <w:rFonts w:ascii="Times New Roman" w:hAnsi="Times New Roman" w:cs="Times New Roman"/>
          <w:sz w:val="24"/>
          <w:szCs w:val="24"/>
        </w:rPr>
        <w:lastRenderedPageBreak/>
        <w:t xml:space="preserve">(Rothenberg </w:t>
      </w:r>
      <w:r w:rsidR="00554DD5">
        <w:rPr>
          <w:rFonts w:ascii="Times New Roman" w:hAnsi="Times New Roman" w:cs="Times New Roman"/>
          <w:i/>
          <w:sz w:val="24"/>
          <w:szCs w:val="24"/>
        </w:rPr>
        <w:t>et al.</w:t>
      </w:r>
      <w:r w:rsidR="00554DD5">
        <w:rPr>
          <w:rFonts w:ascii="Times New Roman" w:hAnsi="Times New Roman" w:cs="Times New Roman"/>
          <w:sz w:val="24"/>
          <w:szCs w:val="24"/>
        </w:rPr>
        <w:t xml:space="preserve">, 2005; Shane, 2013; Martinez </w:t>
      </w:r>
      <w:r w:rsidR="00554DD5">
        <w:rPr>
          <w:rFonts w:ascii="Times New Roman" w:hAnsi="Times New Roman" w:cs="Times New Roman"/>
          <w:i/>
          <w:sz w:val="24"/>
          <w:szCs w:val="24"/>
        </w:rPr>
        <w:t>et al.</w:t>
      </w:r>
      <w:r w:rsidR="00554DD5">
        <w:rPr>
          <w:rFonts w:ascii="Times New Roman" w:hAnsi="Times New Roman" w:cs="Times New Roman"/>
          <w:sz w:val="24"/>
          <w:szCs w:val="24"/>
        </w:rPr>
        <w:t>, 2013). However, we also show the first indication that a large, cohesive community is represented in the RDS sample.</w:t>
      </w:r>
    </w:p>
    <w:p w:rsidR="006E71D8" w:rsidRDefault="00B32FC5" w:rsidP="00B32FC5">
      <w:pPr>
        <w:jc w:val="both"/>
        <w:rPr>
          <w:rFonts w:ascii="Times New Roman" w:hAnsi="Times New Roman" w:cs="Times New Roman"/>
          <w:sz w:val="24"/>
          <w:szCs w:val="24"/>
        </w:rPr>
      </w:pPr>
      <w:r>
        <w:rPr>
          <w:rFonts w:ascii="Times New Roman" w:hAnsi="Times New Roman" w:cs="Times New Roman"/>
          <w:sz w:val="24"/>
          <w:szCs w:val="24"/>
        </w:rPr>
        <w:t xml:space="preserve">It should be noted that it is impossible, based on the level of detail in the spatial information, to discern sites that are truly shared. The relationship these individuals have with each other through the locations they visit for risk-related behaviours is estimated based on their perception of what is near where they live, inject drugs, and meet with sex trade partners. But the </w:t>
      </w:r>
      <w:proofErr w:type="gramStart"/>
      <w:r>
        <w:rPr>
          <w:rFonts w:ascii="Times New Roman" w:hAnsi="Times New Roman" w:cs="Times New Roman"/>
          <w:sz w:val="24"/>
          <w:szCs w:val="24"/>
        </w:rPr>
        <w:t>number</w:t>
      </w:r>
      <w:proofErr w:type="gramEnd"/>
      <w:r>
        <w:rPr>
          <w:rFonts w:ascii="Times New Roman" w:hAnsi="Times New Roman" w:cs="Times New Roman"/>
          <w:sz w:val="24"/>
          <w:szCs w:val="24"/>
        </w:rPr>
        <w:t xml:space="preserve"> of mentions some intersections receive suggest that there are small neighbourhoods or regions which may influence the social topology (Figure 4a). </w:t>
      </w:r>
    </w:p>
    <w:p w:rsidR="006E71D8" w:rsidRPr="006E71D8" w:rsidRDefault="006E71D8" w:rsidP="006E71D8">
      <w:pPr>
        <w:pStyle w:val="Caption"/>
        <w:keepNext/>
        <w:jc w:val="both"/>
        <w:rPr>
          <w:rFonts w:ascii="Times New Roman" w:hAnsi="Times New Roman" w:cs="Times New Roman"/>
          <w:color w:val="auto"/>
          <w:sz w:val="24"/>
          <w:szCs w:val="24"/>
        </w:rPr>
      </w:pPr>
      <w:proofErr w:type="gramStart"/>
      <w:r w:rsidRPr="006E71D8">
        <w:rPr>
          <w:rFonts w:ascii="Times New Roman" w:hAnsi="Times New Roman" w:cs="Times New Roman"/>
          <w:color w:val="auto"/>
          <w:sz w:val="24"/>
          <w:szCs w:val="24"/>
        </w:rPr>
        <w:t xml:space="preserve">Figure </w:t>
      </w:r>
      <w:r w:rsidR="003B1A1A" w:rsidRPr="006E71D8">
        <w:rPr>
          <w:rFonts w:ascii="Times New Roman" w:hAnsi="Times New Roman" w:cs="Times New Roman"/>
          <w:color w:val="auto"/>
          <w:sz w:val="24"/>
          <w:szCs w:val="24"/>
        </w:rPr>
        <w:fldChar w:fldCharType="begin"/>
      </w:r>
      <w:r w:rsidRPr="006E71D8">
        <w:rPr>
          <w:rFonts w:ascii="Times New Roman" w:hAnsi="Times New Roman" w:cs="Times New Roman"/>
          <w:color w:val="auto"/>
          <w:sz w:val="24"/>
          <w:szCs w:val="24"/>
        </w:rPr>
        <w:instrText xml:space="preserve"> SEQ Figure \* ARABIC </w:instrText>
      </w:r>
      <w:r w:rsidR="003B1A1A" w:rsidRPr="006E71D8">
        <w:rPr>
          <w:rFonts w:ascii="Times New Roman" w:hAnsi="Times New Roman" w:cs="Times New Roman"/>
          <w:color w:val="auto"/>
          <w:sz w:val="24"/>
          <w:szCs w:val="24"/>
        </w:rPr>
        <w:fldChar w:fldCharType="separate"/>
      </w:r>
      <w:r w:rsidRPr="006E71D8">
        <w:rPr>
          <w:rFonts w:ascii="Times New Roman" w:hAnsi="Times New Roman" w:cs="Times New Roman"/>
          <w:noProof/>
          <w:color w:val="auto"/>
          <w:sz w:val="24"/>
          <w:szCs w:val="24"/>
        </w:rPr>
        <w:t>6</w:t>
      </w:r>
      <w:r w:rsidR="003B1A1A" w:rsidRPr="006E71D8">
        <w:rPr>
          <w:rFonts w:ascii="Times New Roman" w:hAnsi="Times New Roman" w:cs="Times New Roman"/>
          <w:color w:val="auto"/>
          <w:sz w:val="24"/>
          <w:szCs w:val="24"/>
        </w:rPr>
        <w:fldChar w:fldCharType="end"/>
      </w:r>
      <w:r w:rsidRPr="006E71D8">
        <w:rPr>
          <w:rFonts w:ascii="Times New Roman" w:hAnsi="Times New Roman" w:cs="Times New Roman"/>
          <w:color w:val="auto"/>
          <w:sz w:val="24"/>
          <w:szCs w:val="24"/>
        </w:rPr>
        <w:t>.</w:t>
      </w:r>
      <w:proofErr w:type="gramEnd"/>
      <w:r w:rsidRPr="006E71D8">
        <w:rPr>
          <w:rFonts w:ascii="Times New Roman" w:hAnsi="Times New Roman" w:cs="Times New Roman"/>
          <w:color w:val="auto"/>
          <w:sz w:val="24"/>
          <w:szCs w:val="24"/>
        </w:rPr>
        <w:t xml:space="preserve"> </w:t>
      </w:r>
      <w:r w:rsidRPr="006E71D8">
        <w:rPr>
          <w:rFonts w:ascii="Times New Roman" w:hAnsi="Times New Roman" w:cs="Times New Roman"/>
          <w:b w:val="0"/>
          <w:color w:val="auto"/>
          <w:sz w:val="24"/>
          <w:szCs w:val="24"/>
        </w:rPr>
        <w:t xml:space="preserve">(A) Sites and respondents displayed by risk activity type, and compared with presence of (B) Hepatitis C and (C) HIV infection. Symbol size is determined by </w:t>
      </w:r>
      <w:proofErr w:type="spellStart"/>
      <w:r w:rsidRPr="006E71D8">
        <w:rPr>
          <w:rFonts w:ascii="Times New Roman" w:hAnsi="Times New Roman" w:cs="Times New Roman"/>
          <w:b w:val="0"/>
          <w:color w:val="auto"/>
          <w:sz w:val="24"/>
          <w:szCs w:val="24"/>
        </w:rPr>
        <w:t>betweenness</w:t>
      </w:r>
      <w:proofErr w:type="spellEnd"/>
      <w:r w:rsidRPr="006E71D8">
        <w:rPr>
          <w:rFonts w:ascii="Times New Roman" w:hAnsi="Times New Roman" w:cs="Times New Roman"/>
          <w:b w:val="0"/>
          <w:color w:val="auto"/>
          <w:sz w:val="24"/>
          <w:szCs w:val="24"/>
        </w:rPr>
        <w:t xml:space="preserve"> score of the node at that location.</w:t>
      </w:r>
    </w:p>
    <w:p w:rsidR="006E71D8" w:rsidRDefault="006E71D8" w:rsidP="00B32FC5">
      <w:pPr>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5943600" cy="3343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BP_Activity.jpg"/>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3343275"/>
                    </a:xfrm>
                    <a:prstGeom prst="rect">
                      <a:avLst/>
                    </a:prstGeom>
                  </pic:spPr>
                </pic:pic>
              </a:graphicData>
            </a:graphic>
          </wp:inline>
        </w:drawing>
      </w:r>
    </w:p>
    <w:p w:rsidR="006E71D8" w:rsidRDefault="006E71D8" w:rsidP="00B32FC5">
      <w:pPr>
        <w:jc w:val="both"/>
        <w:rPr>
          <w:rFonts w:ascii="Times New Roman" w:hAnsi="Times New Roman" w:cs="Times New Roman"/>
          <w:sz w:val="24"/>
          <w:szCs w:val="24"/>
        </w:rPr>
      </w:pPr>
      <w:r>
        <w:rPr>
          <w:rFonts w:ascii="Times New Roman" w:hAnsi="Times New Roman" w:cs="Times New Roman"/>
          <w:sz w:val="24"/>
          <w:szCs w:val="24"/>
        </w:rPr>
        <w:t xml:space="preserve">Observed alongside the high BBP infection rate in the study cohort (Figure 6), these patterns suggest that </w:t>
      </w:r>
      <w:proofErr w:type="gramStart"/>
      <w:r>
        <w:rPr>
          <w:rFonts w:ascii="Times New Roman" w:hAnsi="Times New Roman" w:cs="Times New Roman"/>
          <w:sz w:val="24"/>
          <w:szCs w:val="24"/>
        </w:rPr>
        <w:t>a geography</w:t>
      </w:r>
      <w:proofErr w:type="gramEnd"/>
      <w:r>
        <w:rPr>
          <w:rFonts w:ascii="Times New Roman" w:hAnsi="Times New Roman" w:cs="Times New Roman"/>
          <w:sz w:val="24"/>
          <w:szCs w:val="24"/>
        </w:rPr>
        <w:t xml:space="preserve"> akin to the ‘core population’ identified by Rothenberg </w:t>
      </w:r>
      <w:r>
        <w:rPr>
          <w:rFonts w:ascii="Times New Roman" w:hAnsi="Times New Roman" w:cs="Times New Roman"/>
          <w:i/>
          <w:sz w:val="24"/>
          <w:szCs w:val="24"/>
        </w:rPr>
        <w:t>et al</w:t>
      </w:r>
      <w:r>
        <w:rPr>
          <w:rFonts w:ascii="Times New Roman" w:hAnsi="Times New Roman" w:cs="Times New Roman"/>
          <w:sz w:val="24"/>
          <w:szCs w:val="24"/>
        </w:rPr>
        <w:t xml:space="preserve"> (1983, 2005) is present in the activity space of vulnerable people. Although caution must be used in interpretation of the social topology generated, this approach demonstrates potential for using the geographic foci of risk-related behaviours to model vectors of disease spread. </w:t>
      </w:r>
      <w:r w:rsidR="00970551">
        <w:rPr>
          <w:rFonts w:ascii="Times New Roman" w:hAnsi="Times New Roman" w:cs="Times New Roman"/>
          <w:sz w:val="24"/>
          <w:szCs w:val="24"/>
        </w:rPr>
        <w:t>S</w:t>
      </w:r>
      <w:r w:rsidR="00E43A85">
        <w:rPr>
          <w:rFonts w:ascii="Times New Roman" w:hAnsi="Times New Roman" w:cs="Times New Roman"/>
          <w:sz w:val="24"/>
          <w:szCs w:val="24"/>
        </w:rPr>
        <w:t xml:space="preserve">trong evidence is shown that the RDS sampled </w:t>
      </w:r>
      <w:r w:rsidR="00970551">
        <w:rPr>
          <w:rFonts w:ascii="Times New Roman" w:hAnsi="Times New Roman" w:cs="Times New Roman"/>
          <w:sz w:val="24"/>
          <w:szCs w:val="24"/>
        </w:rPr>
        <w:t xml:space="preserve">a community of connected people, reflecting findings by Rudolph </w:t>
      </w:r>
      <w:r w:rsidR="00970551">
        <w:rPr>
          <w:rFonts w:ascii="Times New Roman" w:hAnsi="Times New Roman" w:cs="Times New Roman"/>
          <w:i/>
          <w:sz w:val="24"/>
          <w:szCs w:val="24"/>
        </w:rPr>
        <w:t>et al.</w:t>
      </w:r>
      <w:r w:rsidR="00970551">
        <w:rPr>
          <w:rFonts w:ascii="Times New Roman" w:hAnsi="Times New Roman" w:cs="Times New Roman"/>
          <w:sz w:val="24"/>
          <w:szCs w:val="24"/>
        </w:rPr>
        <w:t xml:space="preserve"> (2013) that networks and neighbourhoods of drug and sex risk behaviours will reach more individuals at risk.</w:t>
      </w:r>
    </w:p>
    <w:p w:rsidR="00B32FC5" w:rsidRPr="002941A9" w:rsidRDefault="005C2283" w:rsidP="00B32FC5">
      <w:pPr>
        <w:jc w:val="both"/>
        <w:rPr>
          <w:rFonts w:ascii="Times New Roman" w:hAnsi="Times New Roman" w:cs="Times New Roman"/>
          <w:sz w:val="24"/>
          <w:szCs w:val="24"/>
        </w:rPr>
      </w:pPr>
      <w:r w:rsidRPr="002941A9">
        <w:rPr>
          <w:rFonts w:ascii="Times New Roman" w:hAnsi="Times New Roman" w:cs="Times New Roman"/>
          <w:sz w:val="24"/>
          <w:szCs w:val="24"/>
        </w:rPr>
        <w:t xml:space="preserve">Using a spatial approach to the epidemiology of infectious diseases can have several implications on resource use. Identification of neighbourhoods of highest risk-related activity rates can allow </w:t>
      </w:r>
      <w:r w:rsidRPr="002941A9">
        <w:rPr>
          <w:rFonts w:ascii="Times New Roman" w:hAnsi="Times New Roman" w:cs="Times New Roman"/>
          <w:sz w:val="24"/>
          <w:szCs w:val="24"/>
        </w:rPr>
        <w:lastRenderedPageBreak/>
        <w:t xml:space="preserve">the most efficient placement of prevention and intervention programs and resources, like syringe exchanges, disposal and health treatment facilities. </w:t>
      </w:r>
      <w:r w:rsidR="00D57F0C" w:rsidRPr="002941A9">
        <w:rPr>
          <w:rFonts w:ascii="Times New Roman" w:hAnsi="Times New Roman" w:cs="Times New Roman"/>
          <w:sz w:val="24"/>
          <w:szCs w:val="24"/>
        </w:rPr>
        <w:t xml:space="preserve">It is also applicable to other highly infectious diseases that can spread through social contact. </w:t>
      </w:r>
      <w:r w:rsidR="002941A9" w:rsidRPr="002941A9">
        <w:rPr>
          <w:rFonts w:ascii="Times New Roman" w:hAnsi="Times New Roman" w:cs="Times New Roman"/>
          <w:sz w:val="24"/>
          <w:szCs w:val="24"/>
        </w:rPr>
        <w:t xml:space="preserve">Locations of contact and social topology could be used to model transmission of other diseases, such as norovirus, measles, mumps, rubella and tuberculosis – all of which can spread through shared food, close contact or pronounced periods of shared airspace. </w:t>
      </w:r>
    </w:p>
    <w:p w:rsidR="00B32FC5" w:rsidRPr="002941A9" w:rsidRDefault="00B32FC5" w:rsidP="00B32FC5">
      <w:pPr>
        <w:pStyle w:val="Heading2"/>
        <w:rPr>
          <w:color w:val="auto"/>
        </w:rPr>
      </w:pPr>
      <w:r w:rsidRPr="002941A9">
        <w:rPr>
          <w:color w:val="auto"/>
        </w:rPr>
        <w:t>Acknowledgements</w:t>
      </w:r>
    </w:p>
    <w:p w:rsidR="004770E0" w:rsidRDefault="00815163" w:rsidP="000D4237">
      <w:pPr>
        <w:rPr>
          <w:rFonts w:ascii="Times New Roman" w:hAnsi="Times New Roman" w:cs="Times New Roman"/>
          <w:sz w:val="24"/>
          <w:szCs w:val="24"/>
        </w:rPr>
      </w:pPr>
      <w:r>
        <w:rPr>
          <w:rFonts w:ascii="Times New Roman" w:hAnsi="Times New Roman" w:cs="Times New Roman"/>
          <w:sz w:val="24"/>
          <w:szCs w:val="24"/>
        </w:rPr>
        <w:t xml:space="preserve">Dr. </w:t>
      </w:r>
      <w:r w:rsidR="002941A9">
        <w:rPr>
          <w:rFonts w:ascii="Times New Roman" w:hAnsi="Times New Roman" w:cs="Times New Roman"/>
          <w:sz w:val="24"/>
          <w:szCs w:val="24"/>
        </w:rPr>
        <w:t xml:space="preserve">Ann Jolly and </w:t>
      </w:r>
      <w:r>
        <w:rPr>
          <w:rFonts w:ascii="Times New Roman" w:hAnsi="Times New Roman" w:cs="Times New Roman"/>
          <w:sz w:val="24"/>
          <w:szCs w:val="24"/>
        </w:rPr>
        <w:t xml:space="preserve">Dr. </w:t>
      </w:r>
      <w:r w:rsidR="002941A9">
        <w:rPr>
          <w:rFonts w:ascii="Times New Roman" w:hAnsi="Times New Roman" w:cs="Times New Roman"/>
          <w:sz w:val="24"/>
          <w:szCs w:val="24"/>
        </w:rPr>
        <w:t xml:space="preserve">Justine </w:t>
      </w:r>
      <w:proofErr w:type="spellStart"/>
      <w:r w:rsidR="002941A9">
        <w:rPr>
          <w:rFonts w:ascii="Times New Roman" w:hAnsi="Times New Roman" w:cs="Times New Roman"/>
          <w:sz w:val="24"/>
          <w:szCs w:val="24"/>
        </w:rPr>
        <w:t>Blanford</w:t>
      </w:r>
      <w:proofErr w:type="spellEnd"/>
      <w:r w:rsidR="002941A9">
        <w:rPr>
          <w:rFonts w:ascii="Times New Roman" w:hAnsi="Times New Roman" w:cs="Times New Roman"/>
          <w:sz w:val="24"/>
          <w:szCs w:val="24"/>
        </w:rPr>
        <w:t xml:space="preserve"> provided </w:t>
      </w:r>
      <w:r>
        <w:rPr>
          <w:rFonts w:ascii="Times New Roman" w:hAnsi="Times New Roman" w:cs="Times New Roman"/>
          <w:sz w:val="24"/>
          <w:szCs w:val="24"/>
        </w:rPr>
        <w:t xml:space="preserve">invaluable guidance, support, time, effort, </w:t>
      </w:r>
      <w:r w:rsidR="002941A9">
        <w:rPr>
          <w:rFonts w:ascii="Times New Roman" w:hAnsi="Times New Roman" w:cs="Times New Roman"/>
          <w:sz w:val="24"/>
          <w:szCs w:val="24"/>
        </w:rPr>
        <w:t xml:space="preserve">and </w:t>
      </w:r>
      <w:r>
        <w:rPr>
          <w:rFonts w:ascii="Times New Roman" w:hAnsi="Times New Roman" w:cs="Times New Roman"/>
          <w:sz w:val="24"/>
          <w:szCs w:val="24"/>
        </w:rPr>
        <w:t>feedback</w:t>
      </w:r>
      <w:r w:rsidR="002941A9">
        <w:rPr>
          <w:rFonts w:ascii="Times New Roman" w:hAnsi="Times New Roman" w:cs="Times New Roman"/>
          <w:sz w:val="24"/>
          <w:szCs w:val="24"/>
        </w:rPr>
        <w:t xml:space="preserve"> on the analyses a</w:t>
      </w:r>
      <w:r>
        <w:rPr>
          <w:rFonts w:ascii="Times New Roman" w:hAnsi="Times New Roman" w:cs="Times New Roman"/>
          <w:sz w:val="24"/>
          <w:szCs w:val="24"/>
        </w:rPr>
        <w:t>s well as direction</w:t>
      </w:r>
      <w:r w:rsidR="002941A9">
        <w:rPr>
          <w:rFonts w:ascii="Times New Roman" w:hAnsi="Times New Roman" w:cs="Times New Roman"/>
          <w:sz w:val="24"/>
          <w:szCs w:val="24"/>
        </w:rPr>
        <w:t xml:space="preserve"> integrating social and spatial aspects of the model. </w:t>
      </w:r>
      <w:r>
        <w:rPr>
          <w:rFonts w:ascii="Times New Roman" w:hAnsi="Times New Roman" w:cs="Times New Roman"/>
          <w:sz w:val="24"/>
          <w:szCs w:val="24"/>
        </w:rPr>
        <w:t xml:space="preserve">Not to mention patience. I would like to recognize the contributions of Dr. John Wylie for the laboratory data and insight into the information on infection status. </w:t>
      </w:r>
      <w:r w:rsidR="002941A9">
        <w:rPr>
          <w:rFonts w:ascii="Times New Roman" w:hAnsi="Times New Roman" w:cs="Times New Roman"/>
          <w:sz w:val="24"/>
          <w:szCs w:val="24"/>
        </w:rPr>
        <w:t xml:space="preserve">The authors would also like to thank the Canadian Institute of Health Research, and Margaret </w:t>
      </w:r>
      <w:proofErr w:type="spellStart"/>
      <w:r w:rsidR="002941A9">
        <w:rPr>
          <w:rFonts w:ascii="Times New Roman" w:hAnsi="Times New Roman" w:cs="Times New Roman"/>
          <w:sz w:val="24"/>
          <w:szCs w:val="24"/>
        </w:rPr>
        <w:t>Ormand</w:t>
      </w:r>
      <w:proofErr w:type="spellEnd"/>
      <w:r w:rsidR="002941A9">
        <w:rPr>
          <w:rFonts w:ascii="Times New Roman" w:hAnsi="Times New Roman" w:cs="Times New Roman"/>
          <w:sz w:val="24"/>
          <w:szCs w:val="24"/>
        </w:rPr>
        <w:t xml:space="preserve"> for her effort and data collection work in Winnipeg, Manitoba, Canada. </w:t>
      </w:r>
    </w:p>
    <w:p w:rsidR="002941A9" w:rsidRDefault="002941A9" w:rsidP="000D4237">
      <w:pPr>
        <w:pStyle w:val="Heading2"/>
      </w:pPr>
    </w:p>
    <w:p w:rsidR="002941A9" w:rsidRDefault="002941A9" w:rsidP="000D4237">
      <w:pPr>
        <w:pStyle w:val="Heading2"/>
      </w:pPr>
    </w:p>
    <w:p w:rsidR="002941A9" w:rsidRDefault="002941A9" w:rsidP="000D4237">
      <w:pPr>
        <w:pStyle w:val="Heading2"/>
      </w:pPr>
    </w:p>
    <w:p w:rsidR="002941A9" w:rsidRDefault="002941A9" w:rsidP="000D4237">
      <w:pPr>
        <w:pStyle w:val="Heading2"/>
      </w:pPr>
    </w:p>
    <w:p w:rsidR="002941A9" w:rsidRDefault="002941A9" w:rsidP="000D4237">
      <w:pPr>
        <w:pStyle w:val="Heading2"/>
      </w:pPr>
    </w:p>
    <w:p w:rsidR="002941A9" w:rsidRDefault="002941A9" w:rsidP="000D4237">
      <w:pPr>
        <w:pStyle w:val="Heading2"/>
      </w:pPr>
    </w:p>
    <w:p w:rsidR="002941A9" w:rsidRDefault="002941A9" w:rsidP="000D4237">
      <w:pPr>
        <w:pStyle w:val="Heading2"/>
      </w:pPr>
    </w:p>
    <w:p w:rsidR="002941A9" w:rsidRDefault="002941A9" w:rsidP="000D4237">
      <w:pPr>
        <w:pStyle w:val="Heading2"/>
      </w:pPr>
    </w:p>
    <w:p w:rsidR="002941A9" w:rsidRDefault="002941A9" w:rsidP="000D4237">
      <w:pPr>
        <w:pStyle w:val="Heading2"/>
      </w:pPr>
    </w:p>
    <w:p w:rsidR="002941A9" w:rsidRDefault="002941A9" w:rsidP="000D4237">
      <w:pPr>
        <w:pStyle w:val="Heading2"/>
      </w:pPr>
    </w:p>
    <w:p w:rsidR="002941A9" w:rsidRDefault="002941A9" w:rsidP="000D4237">
      <w:pPr>
        <w:pStyle w:val="Heading2"/>
      </w:pPr>
    </w:p>
    <w:p w:rsidR="002941A9" w:rsidRDefault="002941A9" w:rsidP="000D4237">
      <w:pPr>
        <w:pStyle w:val="Heading2"/>
      </w:pPr>
    </w:p>
    <w:p w:rsidR="002941A9" w:rsidRDefault="002941A9" w:rsidP="000D4237">
      <w:pPr>
        <w:pStyle w:val="Heading2"/>
      </w:pPr>
    </w:p>
    <w:p w:rsidR="002941A9" w:rsidRDefault="002941A9" w:rsidP="000D4237">
      <w:pPr>
        <w:pStyle w:val="Heading2"/>
      </w:pPr>
    </w:p>
    <w:p w:rsidR="002941A9" w:rsidRPr="002941A9" w:rsidRDefault="002941A9" w:rsidP="002941A9"/>
    <w:p w:rsidR="000D4237" w:rsidRPr="002941A9" w:rsidRDefault="002941A9" w:rsidP="000D4237">
      <w:pPr>
        <w:pStyle w:val="Heading2"/>
        <w:rPr>
          <w:color w:val="auto"/>
        </w:rPr>
      </w:pPr>
      <w:r w:rsidRPr="002941A9">
        <w:rPr>
          <w:color w:val="auto"/>
        </w:rPr>
        <w:lastRenderedPageBreak/>
        <w:t>R</w:t>
      </w:r>
      <w:r w:rsidR="000D4237" w:rsidRPr="002941A9">
        <w:rPr>
          <w:color w:val="auto"/>
        </w:rPr>
        <w:t>eferences</w:t>
      </w:r>
    </w:p>
    <w:p w:rsidR="003178CD" w:rsidRDefault="00205D80" w:rsidP="001F7B93">
      <w:pPr>
        <w:pStyle w:val="NormalWeb"/>
        <w:ind w:left="482" w:hanging="482"/>
      </w:pPr>
      <w:proofErr w:type="spellStart"/>
      <w:proofErr w:type="gramStart"/>
      <w:r w:rsidRPr="004A3044">
        <w:t>Aurit</w:t>
      </w:r>
      <w:proofErr w:type="spellEnd"/>
      <w:r w:rsidRPr="004A3044">
        <w:t xml:space="preserve">, M. D., Peterson, R. O., &amp; </w:t>
      </w:r>
      <w:proofErr w:type="spellStart"/>
      <w:r w:rsidRPr="004A3044">
        <w:t>Blanford</w:t>
      </w:r>
      <w:proofErr w:type="spellEnd"/>
      <w:r w:rsidRPr="004A3044">
        <w:t>, J. I. (2013).</w:t>
      </w:r>
      <w:proofErr w:type="gramEnd"/>
      <w:r w:rsidRPr="004A3044">
        <w:t xml:space="preserve"> </w:t>
      </w:r>
      <w:proofErr w:type="gramStart"/>
      <w:r w:rsidRPr="004A3044">
        <w:t>A GIS analysis of the relationship between sinkholes, dry-well complaints and groundwater pumping for frost-freeze protection of winter strawberry production in Florida.</w:t>
      </w:r>
      <w:proofErr w:type="gramEnd"/>
      <w:r w:rsidRPr="004A3044">
        <w:t xml:space="preserve"> </w:t>
      </w:r>
      <w:proofErr w:type="spellStart"/>
      <w:r w:rsidRPr="004A3044">
        <w:rPr>
          <w:i/>
          <w:iCs/>
        </w:rPr>
        <w:t>PloS</w:t>
      </w:r>
      <w:proofErr w:type="spellEnd"/>
      <w:r w:rsidRPr="004A3044">
        <w:rPr>
          <w:i/>
          <w:iCs/>
        </w:rPr>
        <w:t xml:space="preserve"> One</w:t>
      </w:r>
      <w:r w:rsidRPr="004A3044">
        <w:t xml:space="preserve">, </w:t>
      </w:r>
      <w:r w:rsidRPr="004A3044">
        <w:rPr>
          <w:i/>
          <w:iCs/>
        </w:rPr>
        <w:t>8</w:t>
      </w:r>
      <w:r w:rsidRPr="004A3044">
        <w:t>(1), e53832. doi:10.1371/journal.pone.0053832</w:t>
      </w:r>
    </w:p>
    <w:p w:rsidR="001E1E96" w:rsidRPr="001E1E96" w:rsidRDefault="001E1E96" w:rsidP="001E1E96">
      <w:pPr>
        <w:spacing w:before="100" w:beforeAutospacing="1" w:after="100" w:afterAutospacing="1" w:line="240" w:lineRule="auto"/>
        <w:ind w:left="480" w:hanging="480"/>
        <w:rPr>
          <w:rFonts w:ascii="Times New Roman" w:eastAsia="Times New Roman" w:hAnsi="Times New Roman" w:cs="Times New Roman"/>
          <w:sz w:val="24"/>
          <w:szCs w:val="24"/>
          <w:lang w:eastAsia="en-CA"/>
        </w:rPr>
      </w:pPr>
      <w:proofErr w:type="gramStart"/>
      <w:r w:rsidRPr="001E1E96">
        <w:rPr>
          <w:rFonts w:ascii="Times New Roman" w:eastAsia="Times New Roman" w:hAnsi="Times New Roman" w:cs="Times New Roman"/>
          <w:sz w:val="24"/>
          <w:szCs w:val="24"/>
          <w:lang w:eastAsia="en-CA"/>
        </w:rPr>
        <w:t>Bansal, S., Grenfell, B. T., &amp; Meyers, L. A. (2007).</w:t>
      </w:r>
      <w:proofErr w:type="gramEnd"/>
      <w:r w:rsidRPr="001E1E96">
        <w:rPr>
          <w:rFonts w:ascii="Times New Roman" w:eastAsia="Times New Roman" w:hAnsi="Times New Roman" w:cs="Times New Roman"/>
          <w:sz w:val="24"/>
          <w:szCs w:val="24"/>
          <w:lang w:eastAsia="en-CA"/>
        </w:rPr>
        <w:t xml:space="preserve"> When individual behaviour matters: homogeneous and network models in epidemiology. </w:t>
      </w:r>
      <w:proofErr w:type="gramStart"/>
      <w:r w:rsidRPr="001E1E96">
        <w:rPr>
          <w:rFonts w:ascii="Times New Roman" w:eastAsia="Times New Roman" w:hAnsi="Times New Roman" w:cs="Times New Roman"/>
          <w:i/>
          <w:iCs/>
          <w:sz w:val="24"/>
          <w:szCs w:val="24"/>
          <w:lang w:eastAsia="en-CA"/>
        </w:rPr>
        <w:t>Journal of the Royal Society, Interface / the Royal Society</w:t>
      </w:r>
      <w:r w:rsidRPr="001E1E96">
        <w:rPr>
          <w:rFonts w:ascii="Times New Roman" w:eastAsia="Times New Roman" w:hAnsi="Times New Roman" w:cs="Times New Roman"/>
          <w:sz w:val="24"/>
          <w:szCs w:val="24"/>
          <w:lang w:eastAsia="en-CA"/>
        </w:rPr>
        <w:t xml:space="preserve">, </w:t>
      </w:r>
      <w:r w:rsidRPr="001E1E96">
        <w:rPr>
          <w:rFonts w:ascii="Times New Roman" w:eastAsia="Times New Roman" w:hAnsi="Times New Roman" w:cs="Times New Roman"/>
          <w:i/>
          <w:iCs/>
          <w:sz w:val="24"/>
          <w:szCs w:val="24"/>
          <w:lang w:eastAsia="en-CA"/>
        </w:rPr>
        <w:t>4</w:t>
      </w:r>
      <w:r w:rsidRPr="001E1E96">
        <w:rPr>
          <w:rFonts w:ascii="Times New Roman" w:eastAsia="Times New Roman" w:hAnsi="Times New Roman" w:cs="Times New Roman"/>
          <w:sz w:val="24"/>
          <w:szCs w:val="24"/>
          <w:lang w:eastAsia="en-CA"/>
        </w:rPr>
        <w:t>(16), 879–91.</w:t>
      </w:r>
      <w:proofErr w:type="gramEnd"/>
      <w:r w:rsidRPr="001E1E96">
        <w:rPr>
          <w:rFonts w:ascii="Times New Roman" w:eastAsia="Times New Roman" w:hAnsi="Times New Roman" w:cs="Times New Roman"/>
          <w:sz w:val="24"/>
          <w:szCs w:val="24"/>
          <w:lang w:eastAsia="en-CA"/>
        </w:rPr>
        <w:t xml:space="preserve"> doi:10.1098/rsif.2007.1100</w:t>
      </w:r>
    </w:p>
    <w:p w:rsidR="001B7C0E" w:rsidRPr="004A3044" w:rsidRDefault="001B7C0E" w:rsidP="004A3044">
      <w:pPr>
        <w:ind w:left="567" w:hanging="567"/>
        <w:rPr>
          <w:rFonts w:ascii="Times New Roman" w:hAnsi="Times New Roman" w:cs="Times New Roman"/>
          <w:color w:val="FF0000"/>
          <w:sz w:val="24"/>
          <w:szCs w:val="24"/>
        </w:rPr>
      </w:pPr>
      <w:proofErr w:type="spellStart"/>
      <w:proofErr w:type="gramStart"/>
      <w:r w:rsidRPr="005D458C">
        <w:rPr>
          <w:rFonts w:ascii="Times New Roman" w:hAnsi="Times New Roman" w:cs="Times New Roman"/>
          <w:sz w:val="24"/>
          <w:szCs w:val="24"/>
        </w:rPr>
        <w:t>Batagelj</w:t>
      </w:r>
      <w:proofErr w:type="spellEnd"/>
      <w:r w:rsidRPr="005D458C">
        <w:rPr>
          <w:rFonts w:ascii="Times New Roman" w:hAnsi="Times New Roman" w:cs="Times New Roman"/>
          <w:sz w:val="24"/>
          <w:szCs w:val="24"/>
        </w:rPr>
        <w:t xml:space="preserve"> V and </w:t>
      </w:r>
      <w:proofErr w:type="spellStart"/>
      <w:r w:rsidRPr="005D458C">
        <w:rPr>
          <w:rFonts w:ascii="Times New Roman" w:hAnsi="Times New Roman" w:cs="Times New Roman"/>
          <w:sz w:val="24"/>
          <w:szCs w:val="24"/>
        </w:rPr>
        <w:t>Mrvar</w:t>
      </w:r>
      <w:proofErr w:type="spellEnd"/>
      <w:r w:rsidRPr="005D458C">
        <w:rPr>
          <w:rFonts w:ascii="Times New Roman" w:hAnsi="Times New Roman" w:cs="Times New Roman"/>
          <w:sz w:val="24"/>
          <w:szCs w:val="24"/>
        </w:rPr>
        <w:t xml:space="preserve"> A (2011).</w:t>
      </w:r>
      <w:proofErr w:type="gramEnd"/>
      <w:r w:rsidRPr="005D458C">
        <w:rPr>
          <w:rFonts w:ascii="Times New Roman" w:hAnsi="Times New Roman" w:cs="Times New Roman"/>
          <w:sz w:val="24"/>
          <w:szCs w:val="24"/>
        </w:rPr>
        <w:t xml:space="preserve"> </w:t>
      </w:r>
      <w:proofErr w:type="spellStart"/>
      <w:proofErr w:type="gramStart"/>
      <w:r w:rsidRPr="005D458C">
        <w:rPr>
          <w:rFonts w:ascii="Times New Roman" w:hAnsi="Times New Roman" w:cs="Times New Roman"/>
          <w:sz w:val="24"/>
          <w:szCs w:val="24"/>
        </w:rPr>
        <w:t>Pajek</w:t>
      </w:r>
      <w:proofErr w:type="spellEnd"/>
      <w:r w:rsidRPr="005D458C">
        <w:rPr>
          <w:rFonts w:ascii="Times New Roman" w:hAnsi="Times New Roman" w:cs="Times New Roman"/>
          <w:sz w:val="24"/>
          <w:szCs w:val="24"/>
        </w:rPr>
        <w:t xml:space="preserve"> [Computer software].</w:t>
      </w:r>
      <w:proofErr w:type="gramEnd"/>
      <w:r w:rsidRPr="005D458C">
        <w:rPr>
          <w:rFonts w:ascii="Times New Roman" w:hAnsi="Times New Roman" w:cs="Times New Roman"/>
          <w:sz w:val="24"/>
          <w:szCs w:val="24"/>
        </w:rPr>
        <w:t xml:space="preserve"> </w:t>
      </w:r>
      <w:proofErr w:type="gramStart"/>
      <w:r w:rsidRPr="005D458C">
        <w:rPr>
          <w:rFonts w:ascii="Times New Roman" w:hAnsi="Times New Roman" w:cs="Times New Roman"/>
          <w:sz w:val="24"/>
          <w:szCs w:val="24"/>
        </w:rPr>
        <w:t xml:space="preserve">Available from </w:t>
      </w:r>
      <w:hyperlink r:id="rId28" w:history="1">
        <w:r w:rsidRPr="005D458C">
          <w:rPr>
            <w:rStyle w:val="Hyperlink"/>
            <w:rFonts w:ascii="Times New Roman" w:hAnsi="Times New Roman" w:cs="Times New Roman"/>
            <w:color w:val="auto"/>
            <w:sz w:val="24"/>
            <w:szCs w:val="24"/>
          </w:rPr>
          <w:t>http://pajek.imfm.si/doku.php?id=download</w:t>
        </w:r>
      </w:hyperlink>
      <w:r w:rsidRPr="005D458C">
        <w:rPr>
          <w:rFonts w:ascii="Times New Roman" w:hAnsi="Times New Roman" w:cs="Times New Roman"/>
          <w:sz w:val="24"/>
          <w:szCs w:val="24"/>
        </w:rPr>
        <w:t>.</w:t>
      </w:r>
      <w:proofErr w:type="gramEnd"/>
    </w:p>
    <w:p w:rsidR="00FC210A" w:rsidRPr="004A3044" w:rsidRDefault="00FC210A" w:rsidP="00FC210A">
      <w:pPr>
        <w:pStyle w:val="NormalWeb"/>
        <w:ind w:left="480" w:hanging="480"/>
      </w:pPr>
      <w:proofErr w:type="gramStart"/>
      <w:r w:rsidRPr="004A3044">
        <w:t xml:space="preserve">Becker, K. M., Glass, G. E., Brathwaite, W., &amp; </w:t>
      </w:r>
      <w:proofErr w:type="spellStart"/>
      <w:r w:rsidRPr="004A3044">
        <w:t>Zenilman</w:t>
      </w:r>
      <w:proofErr w:type="spellEnd"/>
      <w:r w:rsidRPr="004A3044">
        <w:t>, J. M. (1998).</w:t>
      </w:r>
      <w:proofErr w:type="gramEnd"/>
      <w:r w:rsidRPr="004A3044">
        <w:t xml:space="preserve"> </w:t>
      </w:r>
      <w:proofErr w:type="gramStart"/>
      <w:r w:rsidRPr="004A3044">
        <w:t>Geographic epidemiology of gonorrhea in Baltimore, Maryland, using a geographic information system.</w:t>
      </w:r>
      <w:proofErr w:type="gramEnd"/>
      <w:r w:rsidRPr="004A3044">
        <w:t xml:space="preserve"> </w:t>
      </w:r>
      <w:proofErr w:type="gramStart"/>
      <w:r w:rsidRPr="004A3044">
        <w:rPr>
          <w:i/>
          <w:iCs/>
        </w:rPr>
        <w:t>American Journal of Epidemiology</w:t>
      </w:r>
      <w:r w:rsidRPr="004A3044">
        <w:t xml:space="preserve">, </w:t>
      </w:r>
      <w:r w:rsidRPr="004A3044">
        <w:rPr>
          <w:i/>
          <w:iCs/>
        </w:rPr>
        <w:t>147</w:t>
      </w:r>
      <w:r w:rsidRPr="004A3044">
        <w:t>(7), 709–16.</w:t>
      </w:r>
      <w:proofErr w:type="gramEnd"/>
      <w:r w:rsidRPr="004A3044">
        <w:t xml:space="preserve"> Retrieved from http://www.ncbi.nlm.nih.gov/pubmed/9554611</w:t>
      </w:r>
    </w:p>
    <w:p w:rsidR="008A3CE7" w:rsidRDefault="008A3CE7" w:rsidP="005D458C">
      <w:pPr>
        <w:ind w:left="426" w:hanging="426"/>
        <w:rPr>
          <w:rFonts w:ascii="Times New Roman" w:hAnsi="Times New Roman" w:cs="Times New Roman"/>
          <w:sz w:val="24"/>
          <w:szCs w:val="24"/>
        </w:rPr>
      </w:pPr>
      <w:proofErr w:type="spellStart"/>
      <w:r w:rsidRPr="005D458C">
        <w:rPr>
          <w:rFonts w:ascii="Times New Roman" w:hAnsi="Times New Roman" w:cs="Times New Roman"/>
          <w:sz w:val="24"/>
          <w:szCs w:val="24"/>
        </w:rPr>
        <w:t>Brandes</w:t>
      </w:r>
      <w:proofErr w:type="spellEnd"/>
      <w:r w:rsidRPr="005D458C">
        <w:rPr>
          <w:rFonts w:ascii="Times New Roman" w:hAnsi="Times New Roman" w:cs="Times New Roman"/>
          <w:sz w:val="24"/>
          <w:szCs w:val="24"/>
        </w:rPr>
        <w:t xml:space="preserve">, </w:t>
      </w:r>
      <w:proofErr w:type="spellStart"/>
      <w:r w:rsidRPr="005D458C">
        <w:rPr>
          <w:rFonts w:ascii="Times New Roman" w:hAnsi="Times New Roman" w:cs="Times New Roman"/>
          <w:sz w:val="24"/>
          <w:szCs w:val="24"/>
        </w:rPr>
        <w:t>Ulrik</w:t>
      </w:r>
      <w:proofErr w:type="spellEnd"/>
      <w:r w:rsidRPr="005D458C">
        <w:rPr>
          <w:rFonts w:ascii="Times New Roman" w:hAnsi="Times New Roman" w:cs="Times New Roman"/>
          <w:sz w:val="24"/>
          <w:szCs w:val="24"/>
        </w:rPr>
        <w:t xml:space="preserve"> (2001). </w:t>
      </w:r>
      <w:hyperlink r:id="rId29" w:history="1">
        <w:proofErr w:type="gramStart"/>
        <w:r w:rsidRPr="00F71CE7">
          <w:rPr>
            <w:rFonts w:ascii="Times New Roman" w:hAnsi="Times New Roman" w:cs="Times New Roman"/>
            <w:sz w:val="24"/>
            <w:szCs w:val="24"/>
          </w:rPr>
          <w:t xml:space="preserve">"A faster algorithm for </w:t>
        </w:r>
        <w:proofErr w:type="spellStart"/>
        <w:r w:rsidRPr="00F71CE7">
          <w:rPr>
            <w:rFonts w:ascii="Times New Roman" w:hAnsi="Times New Roman" w:cs="Times New Roman"/>
            <w:sz w:val="24"/>
            <w:szCs w:val="24"/>
          </w:rPr>
          <w:t>betweenness</w:t>
        </w:r>
        <w:proofErr w:type="spellEnd"/>
        <w:r w:rsidRPr="00F71CE7">
          <w:rPr>
            <w:rFonts w:ascii="Times New Roman" w:hAnsi="Times New Roman" w:cs="Times New Roman"/>
            <w:sz w:val="24"/>
            <w:szCs w:val="24"/>
          </w:rPr>
          <w:t xml:space="preserve"> centrality"</w:t>
        </w:r>
      </w:hyperlink>
      <w:r w:rsidRPr="005D458C">
        <w:rPr>
          <w:rFonts w:ascii="Times New Roman" w:hAnsi="Times New Roman" w:cs="Times New Roman"/>
          <w:sz w:val="24"/>
          <w:szCs w:val="24"/>
        </w:rPr>
        <w:t> (PDF).</w:t>
      </w:r>
      <w:proofErr w:type="gramEnd"/>
      <w:r w:rsidRPr="005D458C">
        <w:rPr>
          <w:rFonts w:ascii="Times New Roman" w:hAnsi="Times New Roman" w:cs="Times New Roman"/>
          <w:sz w:val="24"/>
          <w:szCs w:val="24"/>
        </w:rPr>
        <w:t> </w:t>
      </w:r>
      <w:r w:rsidRPr="005D458C">
        <w:rPr>
          <w:rFonts w:ascii="Times New Roman" w:hAnsi="Times New Roman" w:cs="Times New Roman"/>
          <w:i/>
          <w:sz w:val="24"/>
          <w:szCs w:val="24"/>
        </w:rPr>
        <w:t>Journal of Mathematical Sociology</w:t>
      </w:r>
      <w:r w:rsidRPr="005D458C">
        <w:rPr>
          <w:rFonts w:ascii="Times New Roman" w:hAnsi="Times New Roman" w:cs="Times New Roman"/>
          <w:sz w:val="24"/>
          <w:szCs w:val="24"/>
        </w:rPr>
        <w:t> </w:t>
      </w:r>
      <w:r w:rsidRPr="005D458C">
        <w:rPr>
          <w:rFonts w:ascii="Times New Roman" w:hAnsi="Times New Roman" w:cs="Times New Roman"/>
          <w:b/>
          <w:sz w:val="24"/>
          <w:szCs w:val="24"/>
        </w:rPr>
        <w:t>25</w:t>
      </w:r>
      <w:r w:rsidRPr="005D458C">
        <w:rPr>
          <w:rFonts w:ascii="Times New Roman" w:hAnsi="Times New Roman" w:cs="Times New Roman"/>
          <w:sz w:val="24"/>
          <w:szCs w:val="24"/>
        </w:rPr>
        <w:t>: 163–177</w:t>
      </w:r>
      <w:r w:rsidR="007018A2" w:rsidRPr="005D458C">
        <w:rPr>
          <w:rFonts w:ascii="Times New Roman" w:hAnsi="Times New Roman" w:cs="Times New Roman"/>
          <w:sz w:val="24"/>
          <w:szCs w:val="24"/>
        </w:rPr>
        <w:t xml:space="preserve">. </w:t>
      </w:r>
      <w:proofErr w:type="gramStart"/>
      <w:r w:rsidR="007018A2" w:rsidRPr="005D458C">
        <w:rPr>
          <w:rFonts w:ascii="Times New Roman" w:hAnsi="Times New Roman" w:cs="Times New Roman"/>
          <w:sz w:val="24"/>
          <w:szCs w:val="24"/>
        </w:rPr>
        <w:t>Retrieved 24.04.2014.</w:t>
      </w:r>
      <w:proofErr w:type="gramEnd"/>
    </w:p>
    <w:p w:rsidR="005242DF" w:rsidRPr="005D458C" w:rsidRDefault="005242DF" w:rsidP="005242DF">
      <w:pPr>
        <w:pStyle w:val="NormalWeb"/>
        <w:ind w:left="480" w:hanging="480"/>
      </w:pPr>
      <w:proofErr w:type="spellStart"/>
      <w:proofErr w:type="gramStart"/>
      <w:r>
        <w:t>Brouwer</w:t>
      </w:r>
      <w:proofErr w:type="spellEnd"/>
      <w:r>
        <w:t xml:space="preserve">, K. C., </w:t>
      </w:r>
      <w:proofErr w:type="spellStart"/>
      <w:r>
        <w:t>Rusch</w:t>
      </w:r>
      <w:proofErr w:type="spellEnd"/>
      <w:r>
        <w:t xml:space="preserve">, M. L., Weeks, J. R., </w:t>
      </w:r>
      <w:proofErr w:type="spellStart"/>
      <w:r>
        <w:t>Lozada</w:t>
      </w:r>
      <w:proofErr w:type="spellEnd"/>
      <w:r>
        <w:t xml:space="preserve">, R., </w:t>
      </w:r>
      <w:proofErr w:type="spellStart"/>
      <w:r>
        <w:t>Magis-rodríguez</w:t>
      </w:r>
      <w:proofErr w:type="spellEnd"/>
      <w:r>
        <w:t xml:space="preserve">, C., &amp; </w:t>
      </w:r>
      <w:proofErr w:type="spellStart"/>
      <w:r>
        <w:t>Strathdee</w:t>
      </w:r>
      <w:proofErr w:type="spellEnd"/>
      <w:r>
        <w:t>, S. A. (2013).</w:t>
      </w:r>
      <w:proofErr w:type="gramEnd"/>
      <w:r>
        <w:t xml:space="preserve"> NIH Public Access, </w:t>
      </w:r>
      <w:r>
        <w:rPr>
          <w:i/>
          <w:iCs/>
        </w:rPr>
        <w:t>102</w:t>
      </w:r>
      <w:r>
        <w:t>(5), 1190–1199. doi:10.1080/00045608.2012.674896.Spatial</w:t>
      </w:r>
    </w:p>
    <w:p w:rsidR="005F0A69" w:rsidRDefault="005F0A69" w:rsidP="005D458C">
      <w:pPr>
        <w:ind w:left="426" w:hanging="426"/>
        <w:rPr>
          <w:rFonts w:ascii="Times New Roman" w:hAnsi="Times New Roman" w:cs="Times New Roman"/>
          <w:sz w:val="24"/>
          <w:szCs w:val="24"/>
        </w:rPr>
      </w:pPr>
      <w:proofErr w:type="gramStart"/>
      <w:r w:rsidRPr="005D458C">
        <w:rPr>
          <w:rFonts w:ascii="Times New Roman" w:hAnsi="Times New Roman" w:cs="Times New Roman"/>
          <w:sz w:val="24"/>
          <w:szCs w:val="24"/>
        </w:rPr>
        <w:t>Centers for Disease Control and Prevention (2013).</w:t>
      </w:r>
      <w:proofErr w:type="gramEnd"/>
      <w:r w:rsidRPr="005D458C">
        <w:rPr>
          <w:rFonts w:ascii="Times New Roman" w:hAnsi="Times New Roman" w:cs="Times New Roman"/>
          <w:sz w:val="24"/>
          <w:szCs w:val="24"/>
        </w:rPr>
        <w:t xml:space="preserve"> CDC Fact Sheet: Incidence, Prevalence, and Cost of Sexually Transmitted Infections in the United States. </w:t>
      </w:r>
      <w:hyperlink r:id="rId30" w:history="1">
        <w:r w:rsidRPr="00F71CE7">
          <w:rPr>
            <w:rStyle w:val="Hyperlink"/>
            <w:rFonts w:ascii="Times New Roman" w:hAnsi="Times New Roman" w:cs="Times New Roman"/>
            <w:color w:val="auto"/>
            <w:sz w:val="24"/>
            <w:szCs w:val="24"/>
          </w:rPr>
          <w:t>http://www.cdc.gov/std/stats/STI-Estimates-Fact-Sheet-Feb-2013.pdf</w:t>
        </w:r>
      </w:hyperlink>
    </w:p>
    <w:p w:rsidR="00E97D11" w:rsidRDefault="00E97D11" w:rsidP="00E97D11">
      <w:pPr>
        <w:pStyle w:val="NormalWeb"/>
        <w:ind w:left="480" w:hanging="480"/>
      </w:pPr>
      <w:r>
        <w:t xml:space="preserve">Cummins, S., Curtis, S., </w:t>
      </w:r>
      <w:proofErr w:type="spellStart"/>
      <w:r>
        <w:t>Diez</w:t>
      </w:r>
      <w:proofErr w:type="spellEnd"/>
      <w:r>
        <w:t xml:space="preserve">-Roux, A. V, &amp; Macintyre, S. (2007). Understanding and representing “place” in health research: a relational approach. </w:t>
      </w:r>
      <w:r>
        <w:rPr>
          <w:i/>
          <w:iCs/>
        </w:rPr>
        <w:t>Social Science &amp; Medicine (1982)</w:t>
      </w:r>
      <w:r>
        <w:t xml:space="preserve">, </w:t>
      </w:r>
      <w:r>
        <w:rPr>
          <w:i/>
          <w:iCs/>
        </w:rPr>
        <w:t>65</w:t>
      </w:r>
      <w:r>
        <w:t>(9), 1825–38. doi:10.1016/j.socscimed.2007.05.036</w:t>
      </w:r>
    </w:p>
    <w:p w:rsidR="001E1E96" w:rsidRPr="00F71CE7" w:rsidRDefault="001E1E96" w:rsidP="001E1E96">
      <w:pPr>
        <w:pStyle w:val="NormalWeb"/>
        <w:ind w:left="480" w:hanging="480"/>
      </w:pPr>
      <w:proofErr w:type="gramStart"/>
      <w:r>
        <w:t xml:space="preserve">De, P., Singh, A. E., Wong, T., </w:t>
      </w:r>
      <w:proofErr w:type="spellStart"/>
      <w:r>
        <w:t>Yacoub</w:t>
      </w:r>
      <w:proofErr w:type="spellEnd"/>
      <w:r>
        <w:t>, W., &amp; Jolly, A. M. (2004).</w:t>
      </w:r>
      <w:proofErr w:type="gramEnd"/>
      <w:r>
        <w:t xml:space="preserve"> </w:t>
      </w:r>
      <w:proofErr w:type="gramStart"/>
      <w:r>
        <w:t>Sexual network analysis of a gonorrhoea outbreak.</w:t>
      </w:r>
      <w:proofErr w:type="gramEnd"/>
      <w:r>
        <w:t xml:space="preserve"> </w:t>
      </w:r>
      <w:proofErr w:type="gramStart"/>
      <w:r>
        <w:rPr>
          <w:i/>
          <w:iCs/>
        </w:rPr>
        <w:t>Sexually Transmitted Infections</w:t>
      </w:r>
      <w:r>
        <w:t xml:space="preserve">, </w:t>
      </w:r>
      <w:r>
        <w:rPr>
          <w:i/>
          <w:iCs/>
        </w:rPr>
        <w:t>80</w:t>
      </w:r>
      <w:r>
        <w:t>(4), 280–5.</w:t>
      </w:r>
      <w:proofErr w:type="gramEnd"/>
      <w:r>
        <w:t xml:space="preserve"> doi:10.1136/sti.2003.007187</w:t>
      </w:r>
    </w:p>
    <w:p w:rsidR="004D43F2" w:rsidRPr="004A3044" w:rsidRDefault="004D43F2" w:rsidP="004D43F2">
      <w:pPr>
        <w:pStyle w:val="NormalWeb"/>
        <w:ind w:left="480" w:hanging="480"/>
      </w:pPr>
      <w:proofErr w:type="gramStart"/>
      <w:r w:rsidRPr="004A3044">
        <w:t xml:space="preserve">De, P., Cox, J., </w:t>
      </w:r>
      <w:proofErr w:type="spellStart"/>
      <w:r w:rsidRPr="004A3044">
        <w:t>Boivin</w:t>
      </w:r>
      <w:proofErr w:type="spellEnd"/>
      <w:r w:rsidRPr="004A3044">
        <w:t>, J.-F., Platt, R. W., &amp; Jolly, A. M. (2007).</w:t>
      </w:r>
      <w:proofErr w:type="gramEnd"/>
      <w:r w:rsidRPr="004A3044">
        <w:t xml:space="preserve"> The importance of social networks in their association to drug equipment sharing among injection drug users: a review. </w:t>
      </w:r>
      <w:proofErr w:type="gramStart"/>
      <w:r w:rsidRPr="004A3044">
        <w:rPr>
          <w:i/>
          <w:iCs/>
        </w:rPr>
        <w:t>Addiction (Abingdon, England)</w:t>
      </w:r>
      <w:r w:rsidRPr="004A3044">
        <w:t xml:space="preserve">, </w:t>
      </w:r>
      <w:r w:rsidRPr="004A3044">
        <w:rPr>
          <w:i/>
          <w:iCs/>
        </w:rPr>
        <w:t>102</w:t>
      </w:r>
      <w:r w:rsidRPr="004A3044">
        <w:t>(11), 1730–9.</w:t>
      </w:r>
      <w:proofErr w:type="gramEnd"/>
      <w:r w:rsidRPr="004A3044">
        <w:t xml:space="preserve"> doi:10.1111/j.1360-0443.2007.01936.x</w:t>
      </w:r>
    </w:p>
    <w:p w:rsidR="00A24242" w:rsidRPr="004A3044" w:rsidRDefault="00A24242" w:rsidP="004A3044">
      <w:pPr>
        <w:pStyle w:val="NormalWeb"/>
        <w:ind w:left="480" w:hanging="480"/>
      </w:pPr>
      <w:r w:rsidRPr="004A3044">
        <w:t xml:space="preserve">Gerber, M. S. (2014). </w:t>
      </w:r>
      <w:proofErr w:type="gramStart"/>
      <w:r w:rsidRPr="004A3044">
        <w:t>Predicting crime using Twitter and kernel density estimation.</w:t>
      </w:r>
      <w:proofErr w:type="gramEnd"/>
      <w:r w:rsidRPr="004A3044">
        <w:t xml:space="preserve"> </w:t>
      </w:r>
      <w:r w:rsidRPr="004A3044">
        <w:rPr>
          <w:i/>
          <w:iCs/>
        </w:rPr>
        <w:t>Decision Support Systems</w:t>
      </w:r>
      <w:r w:rsidRPr="004A3044">
        <w:t xml:space="preserve">, </w:t>
      </w:r>
      <w:r w:rsidRPr="004A3044">
        <w:rPr>
          <w:i/>
          <w:iCs/>
        </w:rPr>
        <w:t>61</w:t>
      </w:r>
      <w:r w:rsidRPr="004A3044">
        <w:t>, 115–125. doi:10.1016/j.dss.2014.02.003</w:t>
      </w:r>
    </w:p>
    <w:p w:rsidR="00D15E22" w:rsidRPr="004A3044" w:rsidRDefault="00D15E22" w:rsidP="00D15E22">
      <w:pPr>
        <w:spacing w:before="100" w:beforeAutospacing="1" w:after="100" w:afterAutospacing="1" w:line="240" w:lineRule="auto"/>
        <w:ind w:left="480" w:hanging="480"/>
        <w:rPr>
          <w:rFonts w:ascii="Times New Roman" w:eastAsia="Times New Roman" w:hAnsi="Times New Roman" w:cs="Times New Roman"/>
          <w:sz w:val="24"/>
          <w:szCs w:val="24"/>
          <w:lang w:eastAsia="en-CA"/>
        </w:rPr>
      </w:pPr>
      <w:proofErr w:type="spellStart"/>
      <w:r w:rsidRPr="00D15E22">
        <w:rPr>
          <w:rFonts w:ascii="Times New Roman" w:eastAsia="Times New Roman" w:hAnsi="Times New Roman" w:cs="Times New Roman"/>
          <w:sz w:val="24"/>
          <w:szCs w:val="24"/>
          <w:lang w:eastAsia="en-CA"/>
        </w:rPr>
        <w:lastRenderedPageBreak/>
        <w:t>Heckathorn</w:t>
      </w:r>
      <w:proofErr w:type="spellEnd"/>
      <w:r w:rsidRPr="00D15E22">
        <w:rPr>
          <w:rFonts w:ascii="Times New Roman" w:eastAsia="Times New Roman" w:hAnsi="Times New Roman" w:cs="Times New Roman"/>
          <w:sz w:val="24"/>
          <w:szCs w:val="24"/>
          <w:lang w:eastAsia="en-CA"/>
        </w:rPr>
        <w:t xml:space="preserve">, D. D. (1997). Respondent-Driven Sampling : A New Approach to the Study of Hidden Populations *. </w:t>
      </w:r>
      <w:r w:rsidRPr="00D15E22">
        <w:rPr>
          <w:rFonts w:ascii="Times New Roman" w:eastAsia="Times New Roman" w:hAnsi="Times New Roman" w:cs="Times New Roman"/>
          <w:i/>
          <w:iCs/>
          <w:sz w:val="24"/>
          <w:szCs w:val="24"/>
          <w:lang w:eastAsia="en-CA"/>
        </w:rPr>
        <w:t>Social Problems</w:t>
      </w:r>
      <w:r w:rsidRPr="00D15E22">
        <w:rPr>
          <w:rFonts w:ascii="Times New Roman" w:eastAsia="Times New Roman" w:hAnsi="Times New Roman" w:cs="Times New Roman"/>
          <w:sz w:val="24"/>
          <w:szCs w:val="24"/>
          <w:lang w:eastAsia="en-CA"/>
        </w:rPr>
        <w:t xml:space="preserve">, </w:t>
      </w:r>
      <w:r w:rsidRPr="00D15E22">
        <w:rPr>
          <w:rFonts w:ascii="Times New Roman" w:eastAsia="Times New Roman" w:hAnsi="Times New Roman" w:cs="Times New Roman"/>
          <w:i/>
          <w:iCs/>
          <w:sz w:val="24"/>
          <w:szCs w:val="24"/>
          <w:lang w:eastAsia="en-CA"/>
        </w:rPr>
        <w:t>44</w:t>
      </w:r>
      <w:r w:rsidRPr="00D15E22">
        <w:rPr>
          <w:rFonts w:ascii="Times New Roman" w:eastAsia="Times New Roman" w:hAnsi="Times New Roman" w:cs="Times New Roman"/>
          <w:sz w:val="24"/>
          <w:szCs w:val="24"/>
          <w:lang w:eastAsia="en-CA"/>
        </w:rPr>
        <w:t>(2), 174–199.</w:t>
      </w:r>
    </w:p>
    <w:p w:rsidR="000D4237" w:rsidRPr="004A3044" w:rsidRDefault="000D4237" w:rsidP="001F7B93">
      <w:pPr>
        <w:ind w:left="482" w:hanging="482"/>
        <w:rPr>
          <w:rFonts w:ascii="Times New Roman" w:hAnsi="Times New Roman" w:cs="Times New Roman"/>
          <w:sz w:val="24"/>
          <w:szCs w:val="24"/>
        </w:rPr>
      </w:pPr>
      <w:r w:rsidRPr="004A3044">
        <w:rPr>
          <w:rFonts w:ascii="Times New Roman" w:hAnsi="Times New Roman" w:cs="Times New Roman"/>
          <w:sz w:val="24"/>
          <w:szCs w:val="24"/>
        </w:rPr>
        <w:t>Jolly AM and Wylie JL (2013)</w:t>
      </w:r>
      <w:r w:rsidR="001F7B93" w:rsidRPr="004A3044">
        <w:rPr>
          <w:rFonts w:ascii="Times New Roman" w:hAnsi="Times New Roman" w:cs="Times New Roman"/>
          <w:sz w:val="24"/>
          <w:szCs w:val="24"/>
        </w:rPr>
        <w:t>.</w:t>
      </w:r>
      <w:r w:rsidRPr="004A3044">
        <w:rPr>
          <w:rFonts w:ascii="Times New Roman" w:hAnsi="Times New Roman" w:cs="Times New Roman"/>
          <w:sz w:val="24"/>
          <w:szCs w:val="24"/>
        </w:rPr>
        <w:t xml:space="preserve"> </w:t>
      </w:r>
      <w:proofErr w:type="gramStart"/>
      <w:r w:rsidRPr="004A3044">
        <w:rPr>
          <w:rFonts w:ascii="Times New Roman" w:hAnsi="Times New Roman" w:cs="Times New Roman"/>
          <w:sz w:val="24"/>
          <w:szCs w:val="24"/>
        </w:rPr>
        <w:t>Sexual Networks and Sexually Transmitted Infections; “The Strength of Weak (Long Distance) Ties”.</w:t>
      </w:r>
      <w:proofErr w:type="gramEnd"/>
      <w:r w:rsidRPr="004A3044">
        <w:rPr>
          <w:rFonts w:ascii="Times New Roman" w:hAnsi="Times New Roman" w:cs="Times New Roman"/>
          <w:sz w:val="24"/>
          <w:szCs w:val="24"/>
        </w:rPr>
        <w:t xml:space="preserve"> </w:t>
      </w:r>
      <w:r w:rsidRPr="004A3044">
        <w:rPr>
          <w:rFonts w:ascii="Times New Roman" w:hAnsi="Times New Roman" w:cs="Times New Roman"/>
          <w:i/>
          <w:sz w:val="24"/>
          <w:szCs w:val="24"/>
        </w:rPr>
        <w:t>The New Public Health and STD/HIV Prevention: Personal, Public and Health Systems Approaches</w:t>
      </w:r>
      <w:r w:rsidRPr="004A3044">
        <w:rPr>
          <w:rFonts w:ascii="Times New Roman" w:hAnsi="Times New Roman" w:cs="Times New Roman"/>
          <w:sz w:val="24"/>
          <w:szCs w:val="24"/>
        </w:rPr>
        <w:t>, 77-109.</w:t>
      </w:r>
    </w:p>
    <w:p w:rsidR="000D4237" w:rsidRPr="004A3044" w:rsidRDefault="000D4237" w:rsidP="004A3044">
      <w:pPr>
        <w:ind w:left="567" w:hanging="567"/>
        <w:rPr>
          <w:rFonts w:ascii="Times New Roman" w:hAnsi="Times New Roman" w:cs="Times New Roman"/>
          <w:sz w:val="24"/>
          <w:szCs w:val="24"/>
        </w:rPr>
      </w:pPr>
      <w:r w:rsidRPr="004A3044">
        <w:rPr>
          <w:rFonts w:ascii="Times New Roman" w:hAnsi="Times New Roman" w:cs="Times New Roman"/>
          <w:sz w:val="24"/>
          <w:szCs w:val="24"/>
        </w:rPr>
        <w:t>Jolly, A.M. (2012) Email regarding “Proposed geographic analysis of risk interactions of marginalised people in</w:t>
      </w:r>
      <w:r w:rsidR="008A18C8" w:rsidRPr="004A3044">
        <w:rPr>
          <w:rFonts w:ascii="Times New Roman" w:hAnsi="Times New Roman" w:cs="Times New Roman"/>
          <w:sz w:val="24"/>
          <w:szCs w:val="24"/>
        </w:rPr>
        <w:t xml:space="preserve"> Ottawa and Winnipeg”</w:t>
      </w:r>
      <w:r w:rsidRPr="004A3044">
        <w:rPr>
          <w:rFonts w:ascii="Times New Roman" w:hAnsi="Times New Roman" w:cs="Times New Roman"/>
          <w:sz w:val="24"/>
          <w:szCs w:val="24"/>
        </w:rPr>
        <w:t>.</w:t>
      </w:r>
    </w:p>
    <w:p w:rsidR="00A24242" w:rsidRPr="004A3044" w:rsidRDefault="00A24242" w:rsidP="002B5E4C">
      <w:pPr>
        <w:pStyle w:val="NormalWeb"/>
        <w:ind w:left="480" w:hanging="480"/>
      </w:pPr>
      <w:proofErr w:type="gramStart"/>
      <w:r w:rsidRPr="004A3044">
        <w:t>Joyner, T. a. (2010).</w:t>
      </w:r>
      <w:proofErr w:type="gramEnd"/>
      <w:r w:rsidRPr="004A3044">
        <w:t xml:space="preserve"> </w:t>
      </w:r>
      <w:proofErr w:type="gramStart"/>
      <w:r w:rsidRPr="004A3044">
        <w:t>Kernel Density Estimation of Tropical Cyclone Frequencies in the North Atlantic Basin.</w:t>
      </w:r>
      <w:proofErr w:type="gramEnd"/>
      <w:r w:rsidRPr="004A3044">
        <w:t xml:space="preserve"> </w:t>
      </w:r>
      <w:r w:rsidRPr="004A3044">
        <w:rPr>
          <w:i/>
          <w:iCs/>
        </w:rPr>
        <w:t>International Journal of Geosciences</w:t>
      </w:r>
      <w:r w:rsidRPr="004A3044">
        <w:t xml:space="preserve">, </w:t>
      </w:r>
      <w:r w:rsidRPr="004A3044">
        <w:rPr>
          <w:i/>
          <w:iCs/>
        </w:rPr>
        <w:t>01</w:t>
      </w:r>
      <w:r w:rsidRPr="004A3044">
        <w:t>(03), 121–</w:t>
      </w:r>
      <w:r w:rsidR="002B5E4C">
        <w:t>129. doi:10.4236/ijg.2010.13016</w:t>
      </w:r>
    </w:p>
    <w:p w:rsidR="003267FB" w:rsidRDefault="00C139EC" w:rsidP="00F71CE7">
      <w:pPr>
        <w:pStyle w:val="NormalWeb"/>
        <w:ind w:left="480" w:hanging="480"/>
        <w:rPr>
          <w:rStyle w:val="Hyperlink"/>
          <w:rFonts w:eastAsiaTheme="majorEastAsia"/>
          <w:color w:val="auto"/>
        </w:rPr>
      </w:pPr>
      <w:proofErr w:type="gramStart"/>
      <w:r w:rsidRPr="004A3044">
        <w:t>Manitoba Centre for Health Policy.</w:t>
      </w:r>
      <w:proofErr w:type="gramEnd"/>
      <w:r w:rsidRPr="004A3044">
        <w:t xml:space="preserve"> (2006). Winnipeg Area Definitions: Neighbourhood Clusters. </w:t>
      </w:r>
      <w:hyperlink r:id="rId31" w:history="1">
        <w:r w:rsidRPr="00F71CE7">
          <w:rPr>
            <w:rStyle w:val="Hyperlink"/>
            <w:rFonts w:eastAsiaTheme="majorEastAsia"/>
            <w:color w:val="auto"/>
          </w:rPr>
          <w:t>http://mchp-appserv.cpe.umanitoba.ca/viewConcept.php?conceptID=1311</w:t>
        </w:r>
      </w:hyperlink>
    </w:p>
    <w:p w:rsidR="002B5E4C" w:rsidRPr="002B5E4C" w:rsidRDefault="002B5E4C" w:rsidP="002B5E4C">
      <w:pPr>
        <w:spacing w:before="100" w:beforeAutospacing="1" w:after="100" w:afterAutospacing="1" w:line="240" w:lineRule="auto"/>
        <w:ind w:left="480" w:hanging="480"/>
        <w:rPr>
          <w:rStyle w:val="Hyperlink"/>
          <w:rFonts w:ascii="Times New Roman" w:eastAsia="Times New Roman" w:hAnsi="Times New Roman" w:cs="Times New Roman"/>
          <w:color w:val="auto"/>
          <w:sz w:val="24"/>
          <w:szCs w:val="24"/>
          <w:u w:val="none"/>
          <w:lang w:eastAsia="en-CA"/>
        </w:rPr>
      </w:pPr>
      <w:proofErr w:type="gramStart"/>
      <w:r w:rsidRPr="002B5E4C">
        <w:rPr>
          <w:rFonts w:ascii="Times New Roman" w:eastAsia="Times New Roman" w:hAnsi="Times New Roman" w:cs="Times New Roman"/>
          <w:sz w:val="24"/>
          <w:szCs w:val="24"/>
          <w:lang w:eastAsia="en-CA"/>
        </w:rPr>
        <w:t xml:space="preserve">Martinez, A. N., </w:t>
      </w:r>
      <w:proofErr w:type="spellStart"/>
      <w:r w:rsidRPr="002B5E4C">
        <w:rPr>
          <w:rFonts w:ascii="Times New Roman" w:eastAsia="Times New Roman" w:hAnsi="Times New Roman" w:cs="Times New Roman"/>
          <w:sz w:val="24"/>
          <w:szCs w:val="24"/>
          <w:lang w:eastAsia="en-CA"/>
        </w:rPr>
        <w:t>Lorvick</w:t>
      </w:r>
      <w:proofErr w:type="spellEnd"/>
      <w:r w:rsidRPr="002B5E4C">
        <w:rPr>
          <w:rFonts w:ascii="Times New Roman" w:eastAsia="Times New Roman" w:hAnsi="Times New Roman" w:cs="Times New Roman"/>
          <w:sz w:val="24"/>
          <w:szCs w:val="24"/>
          <w:lang w:eastAsia="en-CA"/>
        </w:rPr>
        <w:t xml:space="preserve">, J., &amp; </w:t>
      </w:r>
      <w:proofErr w:type="spellStart"/>
      <w:r w:rsidRPr="002B5E4C">
        <w:rPr>
          <w:rFonts w:ascii="Times New Roman" w:eastAsia="Times New Roman" w:hAnsi="Times New Roman" w:cs="Times New Roman"/>
          <w:sz w:val="24"/>
          <w:szCs w:val="24"/>
          <w:lang w:eastAsia="en-CA"/>
        </w:rPr>
        <w:t>Kral</w:t>
      </w:r>
      <w:proofErr w:type="spellEnd"/>
      <w:r w:rsidRPr="002B5E4C">
        <w:rPr>
          <w:rFonts w:ascii="Times New Roman" w:eastAsia="Times New Roman" w:hAnsi="Times New Roman" w:cs="Times New Roman"/>
          <w:sz w:val="24"/>
          <w:szCs w:val="24"/>
          <w:lang w:eastAsia="en-CA"/>
        </w:rPr>
        <w:t>, A. H. (2013).</w:t>
      </w:r>
      <w:proofErr w:type="gramEnd"/>
      <w:r w:rsidRPr="002B5E4C">
        <w:rPr>
          <w:rFonts w:ascii="Times New Roman" w:eastAsia="Times New Roman" w:hAnsi="Times New Roman" w:cs="Times New Roman"/>
          <w:sz w:val="24"/>
          <w:szCs w:val="24"/>
          <w:lang w:eastAsia="en-CA"/>
        </w:rPr>
        <w:t xml:space="preserve"> Activity spaces among injection drug users in San Francisco. </w:t>
      </w:r>
      <w:proofErr w:type="gramStart"/>
      <w:r w:rsidRPr="002B5E4C">
        <w:rPr>
          <w:rFonts w:ascii="Times New Roman" w:eastAsia="Times New Roman" w:hAnsi="Times New Roman" w:cs="Times New Roman"/>
          <w:i/>
          <w:iCs/>
          <w:sz w:val="24"/>
          <w:szCs w:val="24"/>
          <w:lang w:eastAsia="en-CA"/>
        </w:rPr>
        <w:t>The International Journal on Drug Policy</w:t>
      </w:r>
      <w:r w:rsidRPr="002B5E4C">
        <w:rPr>
          <w:rFonts w:ascii="Times New Roman" w:eastAsia="Times New Roman" w:hAnsi="Times New Roman" w:cs="Times New Roman"/>
          <w:sz w:val="24"/>
          <w:szCs w:val="24"/>
          <w:lang w:eastAsia="en-CA"/>
        </w:rPr>
        <w:t>.</w:t>
      </w:r>
      <w:proofErr w:type="gramEnd"/>
      <w:r w:rsidRPr="002B5E4C">
        <w:rPr>
          <w:rFonts w:ascii="Times New Roman" w:eastAsia="Times New Roman" w:hAnsi="Times New Roman" w:cs="Times New Roman"/>
          <w:sz w:val="24"/>
          <w:szCs w:val="24"/>
          <w:lang w:eastAsia="en-CA"/>
        </w:rPr>
        <w:t xml:space="preserve"> doi:10.1016/j.drugpo.2013.11.008</w:t>
      </w:r>
    </w:p>
    <w:p w:rsidR="002B5E4C" w:rsidRPr="00F71CE7" w:rsidRDefault="002B5E4C" w:rsidP="00F71CE7">
      <w:pPr>
        <w:pStyle w:val="NormalWeb"/>
        <w:ind w:left="480" w:hanging="480"/>
      </w:pPr>
      <w:proofErr w:type="spellStart"/>
      <w:proofErr w:type="gramStart"/>
      <w:r w:rsidRPr="004A3044">
        <w:t>Nakaya</w:t>
      </w:r>
      <w:proofErr w:type="spellEnd"/>
      <w:r w:rsidRPr="004A3044">
        <w:t>, T., &amp; Yano, K. (2010).</w:t>
      </w:r>
      <w:proofErr w:type="gramEnd"/>
      <w:r w:rsidRPr="004A3044">
        <w:t xml:space="preserve"> </w:t>
      </w:r>
      <w:proofErr w:type="gramStart"/>
      <w:r w:rsidRPr="004A3044">
        <w:t>Visualising Crime Clusters in a Space-time Cube: An Exploratory Data-analysis Approach Using Space-time Kernel Density Estimation and Scan Statistics.</w:t>
      </w:r>
      <w:proofErr w:type="gramEnd"/>
      <w:r w:rsidRPr="004A3044">
        <w:t xml:space="preserve"> </w:t>
      </w:r>
      <w:r w:rsidRPr="004A3044">
        <w:rPr>
          <w:i/>
          <w:iCs/>
        </w:rPr>
        <w:t>Transactions in GIS</w:t>
      </w:r>
      <w:r w:rsidRPr="004A3044">
        <w:t xml:space="preserve">, </w:t>
      </w:r>
      <w:r w:rsidRPr="004A3044">
        <w:rPr>
          <w:i/>
          <w:iCs/>
        </w:rPr>
        <w:t>14</w:t>
      </w:r>
      <w:r w:rsidRPr="004A3044">
        <w:t>(3), 223–239. doi:10.1111/j.1467-9671.2010.01194.x</w:t>
      </w:r>
    </w:p>
    <w:p w:rsidR="00BE4329" w:rsidRPr="00F71CE7" w:rsidRDefault="001B7C0E" w:rsidP="004A3044">
      <w:pPr>
        <w:ind w:left="426" w:hanging="426"/>
        <w:rPr>
          <w:rFonts w:ascii="Times New Roman" w:hAnsi="Times New Roman" w:cs="Times New Roman"/>
          <w:sz w:val="24"/>
          <w:szCs w:val="24"/>
        </w:rPr>
      </w:pPr>
      <w:proofErr w:type="spellStart"/>
      <w:r w:rsidRPr="00F71CE7">
        <w:rPr>
          <w:rFonts w:ascii="Times New Roman" w:hAnsi="Times New Roman" w:cs="Times New Roman"/>
          <w:sz w:val="24"/>
          <w:szCs w:val="24"/>
        </w:rPr>
        <w:t>Pfeffer</w:t>
      </w:r>
      <w:proofErr w:type="spellEnd"/>
      <w:r w:rsidRPr="00F71CE7">
        <w:rPr>
          <w:rFonts w:ascii="Times New Roman" w:hAnsi="Times New Roman" w:cs="Times New Roman"/>
          <w:sz w:val="24"/>
          <w:szCs w:val="24"/>
        </w:rPr>
        <w:t xml:space="preserve"> J (2004). </w:t>
      </w:r>
      <w:proofErr w:type="spellStart"/>
      <w:proofErr w:type="gramStart"/>
      <w:r w:rsidRPr="00F71CE7">
        <w:rPr>
          <w:rFonts w:ascii="Times New Roman" w:hAnsi="Times New Roman" w:cs="Times New Roman"/>
          <w:sz w:val="24"/>
          <w:szCs w:val="24"/>
        </w:rPr>
        <w:t>Createpajek</w:t>
      </w:r>
      <w:proofErr w:type="spellEnd"/>
      <w:r w:rsidRPr="00F71CE7">
        <w:rPr>
          <w:rFonts w:ascii="Times New Roman" w:hAnsi="Times New Roman" w:cs="Times New Roman"/>
          <w:sz w:val="24"/>
          <w:szCs w:val="24"/>
        </w:rPr>
        <w:t xml:space="preserve"> [computer software].</w:t>
      </w:r>
      <w:proofErr w:type="gramEnd"/>
      <w:r w:rsidRPr="00F71CE7">
        <w:rPr>
          <w:rFonts w:ascii="Times New Roman" w:hAnsi="Times New Roman" w:cs="Times New Roman"/>
          <w:sz w:val="24"/>
          <w:szCs w:val="24"/>
        </w:rPr>
        <w:t xml:space="preserve"> </w:t>
      </w:r>
      <w:proofErr w:type="gramStart"/>
      <w:r w:rsidRPr="00F71CE7">
        <w:rPr>
          <w:rFonts w:ascii="Times New Roman" w:hAnsi="Times New Roman" w:cs="Times New Roman"/>
          <w:sz w:val="24"/>
          <w:szCs w:val="24"/>
        </w:rPr>
        <w:t xml:space="preserve">Available from </w:t>
      </w:r>
      <w:hyperlink r:id="rId32" w:history="1">
        <w:r w:rsidRPr="00F71CE7">
          <w:rPr>
            <w:rStyle w:val="Hyperlink"/>
            <w:rFonts w:ascii="Times New Roman" w:hAnsi="Times New Roman" w:cs="Times New Roman"/>
            <w:color w:val="auto"/>
            <w:sz w:val="24"/>
            <w:szCs w:val="24"/>
          </w:rPr>
          <w:t>http://vlado.fmf.uni-lj.si/pub/networks/pajek/howto/excel2Pajek.htm</w:t>
        </w:r>
      </w:hyperlink>
      <w:r w:rsidRPr="00F71CE7">
        <w:rPr>
          <w:rFonts w:ascii="Times New Roman" w:hAnsi="Times New Roman" w:cs="Times New Roman"/>
          <w:sz w:val="24"/>
          <w:szCs w:val="24"/>
        </w:rPr>
        <w:t>.</w:t>
      </w:r>
      <w:proofErr w:type="gramEnd"/>
    </w:p>
    <w:p w:rsidR="003267FB" w:rsidRPr="004A3044" w:rsidRDefault="004D43F2" w:rsidP="004D43F2">
      <w:pPr>
        <w:pStyle w:val="NormalWeb"/>
        <w:ind w:left="480" w:hanging="480"/>
      </w:pPr>
      <w:proofErr w:type="spellStart"/>
      <w:r w:rsidRPr="004A3044">
        <w:t>Potterat</w:t>
      </w:r>
      <w:proofErr w:type="spellEnd"/>
      <w:r w:rsidRPr="004A3044">
        <w:t xml:space="preserve">, J. J., Rothenberg, R. B., Woodhouse, D. E., </w:t>
      </w:r>
      <w:proofErr w:type="spellStart"/>
      <w:r w:rsidRPr="004A3044">
        <w:t>Muth</w:t>
      </w:r>
      <w:proofErr w:type="spellEnd"/>
      <w:r w:rsidRPr="004A3044">
        <w:t xml:space="preserve">, J. B., </w:t>
      </w:r>
      <w:proofErr w:type="spellStart"/>
      <w:r w:rsidRPr="004A3044">
        <w:t>Pratts</w:t>
      </w:r>
      <w:proofErr w:type="spellEnd"/>
      <w:r w:rsidRPr="004A3044">
        <w:t xml:space="preserve">, C. I., &amp; </w:t>
      </w:r>
      <w:proofErr w:type="spellStart"/>
      <w:r w:rsidRPr="004A3044">
        <w:t>Fogle</w:t>
      </w:r>
      <w:proofErr w:type="spellEnd"/>
      <w:r w:rsidRPr="004A3044">
        <w:t xml:space="preserve">, J. S. (1984). </w:t>
      </w:r>
      <w:proofErr w:type="gramStart"/>
      <w:r w:rsidRPr="004A3044">
        <w:t>Gonorrhea as a Social Disease.</w:t>
      </w:r>
      <w:proofErr w:type="gramEnd"/>
      <w:r w:rsidRPr="004A3044">
        <w:t xml:space="preserve"> </w:t>
      </w:r>
      <w:r w:rsidRPr="004A3044">
        <w:rPr>
          <w:i/>
          <w:iCs/>
        </w:rPr>
        <w:t>Sexually Transmitted Diseases</w:t>
      </w:r>
      <w:r w:rsidRPr="004A3044">
        <w:t xml:space="preserve">, </w:t>
      </w:r>
      <w:r w:rsidRPr="004A3044">
        <w:rPr>
          <w:i/>
          <w:iCs/>
        </w:rPr>
        <w:t>12</w:t>
      </w:r>
      <w:r w:rsidRPr="004A3044">
        <w:t>(1), 25 – 32.</w:t>
      </w:r>
    </w:p>
    <w:p w:rsidR="00B51985" w:rsidRPr="00F71CE7" w:rsidRDefault="00B51985" w:rsidP="00B51985">
      <w:pPr>
        <w:spacing w:before="100" w:beforeAutospacing="1" w:after="100" w:afterAutospacing="1" w:line="240" w:lineRule="auto"/>
        <w:ind w:left="480" w:hanging="480"/>
        <w:rPr>
          <w:rFonts w:ascii="Times New Roman" w:eastAsia="Times New Roman" w:hAnsi="Times New Roman" w:cs="Times New Roman"/>
          <w:sz w:val="24"/>
          <w:szCs w:val="24"/>
          <w:lang w:eastAsia="en-CA"/>
        </w:rPr>
      </w:pPr>
      <w:proofErr w:type="gramStart"/>
      <w:r w:rsidRPr="00B51985">
        <w:rPr>
          <w:rFonts w:ascii="Times New Roman" w:eastAsia="Times New Roman" w:hAnsi="Times New Roman" w:cs="Times New Roman"/>
          <w:sz w:val="24"/>
          <w:szCs w:val="24"/>
          <w:lang w:eastAsia="en-CA"/>
        </w:rPr>
        <w:t>Public Health Agency of Canada.</w:t>
      </w:r>
      <w:proofErr w:type="gramEnd"/>
      <w:r w:rsidRPr="00B51985">
        <w:rPr>
          <w:rFonts w:ascii="Times New Roman" w:eastAsia="Times New Roman" w:hAnsi="Times New Roman" w:cs="Times New Roman"/>
          <w:sz w:val="24"/>
          <w:szCs w:val="24"/>
          <w:lang w:eastAsia="en-CA"/>
        </w:rPr>
        <w:t xml:space="preserve"> </w:t>
      </w:r>
      <w:proofErr w:type="gramStart"/>
      <w:r w:rsidRPr="00B51985">
        <w:rPr>
          <w:rFonts w:ascii="Times New Roman" w:eastAsia="Times New Roman" w:hAnsi="Times New Roman" w:cs="Times New Roman"/>
          <w:sz w:val="24"/>
          <w:szCs w:val="24"/>
          <w:lang w:eastAsia="en-CA"/>
        </w:rPr>
        <w:t>(2010). Canadian Guidelines on Sexually Transmitted Infections.</w:t>
      </w:r>
      <w:proofErr w:type="gramEnd"/>
      <w:r w:rsidRPr="00B51985">
        <w:rPr>
          <w:rFonts w:ascii="Times New Roman" w:eastAsia="Times New Roman" w:hAnsi="Times New Roman" w:cs="Times New Roman"/>
          <w:sz w:val="24"/>
          <w:szCs w:val="24"/>
          <w:lang w:eastAsia="en-CA"/>
        </w:rPr>
        <w:t xml:space="preserve"> </w:t>
      </w:r>
      <w:proofErr w:type="gramStart"/>
      <w:r w:rsidRPr="00B51985">
        <w:rPr>
          <w:rFonts w:ascii="Times New Roman" w:eastAsia="Times New Roman" w:hAnsi="Times New Roman" w:cs="Times New Roman"/>
          <w:i/>
          <w:iCs/>
          <w:sz w:val="24"/>
          <w:szCs w:val="24"/>
          <w:lang w:eastAsia="en-CA"/>
        </w:rPr>
        <w:t>PHAC website</w:t>
      </w:r>
      <w:r w:rsidRPr="00B51985">
        <w:rPr>
          <w:rFonts w:ascii="Times New Roman" w:eastAsia="Times New Roman" w:hAnsi="Times New Roman" w:cs="Times New Roman"/>
          <w:sz w:val="24"/>
          <w:szCs w:val="24"/>
          <w:lang w:eastAsia="en-CA"/>
        </w:rPr>
        <w:t>.</w:t>
      </w:r>
      <w:proofErr w:type="gramEnd"/>
      <w:r w:rsidRPr="00B51985">
        <w:rPr>
          <w:rFonts w:ascii="Times New Roman" w:eastAsia="Times New Roman" w:hAnsi="Times New Roman" w:cs="Times New Roman"/>
          <w:sz w:val="24"/>
          <w:szCs w:val="24"/>
          <w:lang w:eastAsia="en-CA"/>
        </w:rPr>
        <w:t xml:space="preserve"> Retrieved April 19, 2013, from </w:t>
      </w:r>
      <w:hyperlink r:id="rId33" w:anchor="toc" w:history="1">
        <w:r w:rsidRPr="00F71CE7">
          <w:rPr>
            <w:rStyle w:val="Hyperlink"/>
            <w:rFonts w:ascii="Times New Roman" w:eastAsia="Times New Roman" w:hAnsi="Times New Roman" w:cs="Times New Roman"/>
            <w:color w:val="auto"/>
            <w:sz w:val="24"/>
            <w:szCs w:val="24"/>
            <w:lang w:eastAsia="en-CA"/>
          </w:rPr>
          <w:t>http://www.phac-aspc.gc.ca/std-mts/sti-its/cgsti-ldcits/index-eng.php</w:t>
        </w:r>
      </w:hyperlink>
    </w:p>
    <w:p w:rsidR="008A18C8" w:rsidRPr="00F71CE7" w:rsidRDefault="008A18C8" w:rsidP="008A18C8">
      <w:pPr>
        <w:pStyle w:val="NormalWeb"/>
        <w:ind w:left="480" w:hanging="480"/>
      </w:pPr>
      <w:proofErr w:type="gramStart"/>
      <w:r w:rsidRPr="00F71CE7">
        <w:t>Public Health Agency of Canada.</w:t>
      </w:r>
      <w:proofErr w:type="gramEnd"/>
      <w:r w:rsidRPr="00F71CE7">
        <w:t xml:space="preserve"> (2011). Summary: Estimates of HIV Prevalence and Incidence in Canada, 2011. </w:t>
      </w:r>
      <w:proofErr w:type="gramStart"/>
      <w:r w:rsidRPr="00F71CE7">
        <w:rPr>
          <w:i/>
          <w:iCs/>
        </w:rPr>
        <w:t>PHAC website</w:t>
      </w:r>
      <w:r w:rsidRPr="00F71CE7">
        <w:t>.</w:t>
      </w:r>
      <w:proofErr w:type="gramEnd"/>
      <w:r w:rsidRPr="00F71CE7">
        <w:t xml:space="preserve"> Retrieved May 02, 2013, from </w:t>
      </w:r>
      <w:hyperlink r:id="rId34" w:history="1">
        <w:r w:rsidRPr="00F71CE7">
          <w:rPr>
            <w:rStyle w:val="Hyperlink"/>
            <w:color w:val="auto"/>
          </w:rPr>
          <w:t>www.phac-aspc.gc.ca/aids-sida/publication/survreport/estimat2011-eng.php</w:t>
        </w:r>
      </w:hyperlink>
    </w:p>
    <w:p w:rsidR="008A18C8" w:rsidRPr="00F71CE7" w:rsidRDefault="008A18C8" w:rsidP="008A18C8">
      <w:pPr>
        <w:pStyle w:val="NormalWeb"/>
        <w:ind w:left="480" w:hanging="480"/>
      </w:pPr>
      <w:proofErr w:type="gramStart"/>
      <w:r w:rsidRPr="00F71CE7">
        <w:t>Public Health Agency of Canada.</w:t>
      </w:r>
      <w:proofErr w:type="gramEnd"/>
      <w:r w:rsidRPr="00F71CE7">
        <w:t xml:space="preserve"> (2012). HIV/AIDS: M-Track Survey: 2012. </w:t>
      </w:r>
      <w:proofErr w:type="gramStart"/>
      <w:r w:rsidRPr="00F71CE7">
        <w:rPr>
          <w:i/>
          <w:iCs/>
        </w:rPr>
        <w:t>PHAC website</w:t>
      </w:r>
      <w:r w:rsidRPr="00F71CE7">
        <w:t>.</w:t>
      </w:r>
      <w:proofErr w:type="gramEnd"/>
      <w:r w:rsidRPr="00F71CE7">
        <w:t xml:space="preserve"> Retrieved April 15, 2013, from </w:t>
      </w:r>
      <w:hyperlink r:id="rId35" w:history="1">
        <w:r w:rsidRPr="00F71CE7">
          <w:rPr>
            <w:rStyle w:val="Hyperlink"/>
            <w:color w:val="auto"/>
          </w:rPr>
          <w:t>www.phac-aspc.gc.ca/aids-sida/about/mtrack-eng.php</w:t>
        </w:r>
      </w:hyperlink>
    </w:p>
    <w:p w:rsidR="005F0A69" w:rsidRPr="004A3044" w:rsidRDefault="008A18C8" w:rsidP="008A18C8">
      <w:pPr>
        <w:pStyle w:val="NormalWeb"/>
        <w:ind w:left="480" w:hanging="480"/>
      </w:pPr>
      <w:proofErr w:type="spellStart"/>
      <w:r w:rsidRPr="00F71CE7">
        <w:t>Remis</w:t>
      </w:r>
      <w:proofErr w:type="spellEnd"/>
      <w:r w:rsidRPr="00F71CE7">
        <w:t xml:space="preserve">, R. S. (2007). </w:t>
      </w:r>
      <w:r w:rsidRPr="00F71CE7">
        <w:rPr>
          <w:i/>
          <w:iCs/>
        </w:rPr>
        <w:t xml:space="preserve">MODELLING THE INCIDENCE AND PREVALENCE OF HEPATITIS C INFECTION AND ITS SEQUELAE IN </w:t>
      </w:r>
      <w:proofErr w:type="gramStart"/>
      <w:r w:rsidRPr="00F71CE7">
        <w:rPr>
          <w:i/>
          <w:iCs/>
        </w:rPr>
        <w:t>CANADA ,</w:t>
      </w:r>
      <w:proofErr w:type="gramEnd"/>
      <w:r w:rsidRPr="00F71CE7">
        <w:rPr>
          <w:i/>
          <w:iCs/>
        </w:rPr>
        <w:t xml:space="preserve"> 2007</w:t>
      </w:r>
      <w:r w:rsidRPr="00F71CE7">
        <w:t xml:space="preserve"> (p. 52). Retrieved from </w:t>
      </w:r>
      <w:hyperlink r:id="rId36" w:history="1">
        <w:r w:rsidR="00FC210A" w:rsidRPr="00F71CE7">
          <w:rPr>
            <w:rStyle w:val="Hyperlink"/>
            <w:color w:val="auto"/>
          </w:rPr>
          <w:t>www.phac-aspc.gc.ca/sti-its-surv-epi/model/pdf/model07-eng.pdf</w:t>
        </w:r>
      </w:hyperlink>
    </w:p>
    <w:p w:rsidR="00FC210A" w:rsidRPr="004A3044" w:rsidRDefault="00FC210A" w:rsidP="00FC210A">
      <w:pPr>
        <w:pStyle w:val="NormalWeb"/>
        <w:ind w:left="480" w:hanging="480"/>
      </w:pPr>
      <w:r w:rsidRPr="004A3044">
        <w:lastRenderedPageBreak/>
        <w:t xml:space="preserve">Rothenberg, R. B. (1983). </w:t>
      </w:r>
      <w:proofErr w:type="gramStart"/>
      <w:r w:rsidRPr="004A3044">
        <w:t>The geography of gonorrhea.</w:t>
      </w:r>
      <w:proofErr w:type="gramEnd"/>
      <w:r w:rsidRPr="004A3044">
        <w:t xml:space="preserve"> </w:t>
      </w:r>
      <w:r w:rsidRPr="004A3044">
        <w:rPr>
          <w:i/>
          <w:iCs/>
        </w:rPr>
        <w:t>American Journal of Epidemiology</w:t>
      </w:r>
      <w:r w:rsidRPr="004A3044">
        <w:t xml:space="preserve">, </w:t>
      </w:r>
      <w:r w:rsidRPr="004A3044">
        <w:rPr>
          <w:i/>
          <w:iCs/>
        </w:rPr>
        <w:t>117</w:t>
      </w:r>
      <w:r w:rsidRPr="004A3044">
        <w:t>(6), 688–694.</w:t>
      </w:r>
    </w:p>
    <w:p w:rsidR="0056067D" w:rsidRDefault="0056067D" w:rsidP="0056067D">
      <w:pPr>
        <w:pStyle w:val="NormalWeb"/>
        <w:ind w:left="480" w:hanging="480"/>
      </w:pPr>
      <w:proofErr w:type="gramStart"/>
      <w:r w:rsidRPr="004A3044">
        <w:t xml:space="preserve">Rothenberg, R., </w:t>
      </w:r>
      <w:proofErr w:type="spellStart"/>
      <w:r w:rsidRPr="004A3044">
        <w:t>Muth</w:t>
      </w:r>
      <w:proofErr w:type="spellEnd"/>
      <w:r w:rsidRPr="004A3044">
        <w:t xml:space="preserve">, S. Q., Malone, S., </w:t>
      </w:r>
      <w:proofErr w:type="spellStart"/>
      <w:r w:rsidRPr="004A3044">
        <w:t>Potterat</w:t>
      </w:r>
      <w:proofErr w:type="spellEnd"/>
      <w:r w:rsidRPr="004A3044">
        <w:t>, J. J., &amp; Woodhouse, D. E. (2005).</w:t>
      </w:r>
      <w:proofErr w:type="gramEnd"/>
      <w:r w:rsidRPr="004A3044">
        <w:t xml:space="preserve"> </w:t>
      </w:r>
      <w:proofErr w:type="gramStart"/>
      <w:r w:rsidRPr="004A3044">
        <w:t>Social and Geographic Distance in HIV Risk.</w:t>
      </w:r>
      <w:proofErr w:type="gramEnd"/>
      <w:r w:rsidRPr="004A3044">
        <w:t xml:space="preserve"> </w:t>
      </w:r>
      <w:r w:rsidRPr="004A3044">
        <w:rPr>
          <w:i/>
          <w:iCs/>
        </w:rPr>
        <w:t>Sexually Transmitted Diseases</w:t>
      </w:r>
      <w:r w:rsidRPr="004A3044">
        <w:t xml:space="preserve">, </w:t>
      </w:r>
      <w:r w:rsidRPr="004A3044">
        <w:rPr>
          <w:i/>
          <w:iCs/>
        </w:rPr>
        <w:t>32</w:t>
      </w:r>
      <w:r w:rsidRPr="004A3044">
        <w:t>(8), 506–512. doi:10.1097/01.olq.0000161191.12026.ca</w:t>
      </w:r>
    </w:p>
    <w:p w:rsidR="00970551" w:rsidRPr="00970551" w:rsidRDefault="00970551" w:rsidP="00970551">
      <w:pPr>
        <w:spacing w:before="100" w:beforeAutospacing="1" w:after="100" w:afterAutospacing="1" w:line="240" w:lineRule="auto"/>
        <w:ind w:left="480" w:hanging="480"/>
        <w:rPr>
          <w:rFonts w:ascii="Times New Roman" w:eastAsia="Times New Roman" w:hAnsi="Times New Roman" w:cs="Times New Roman"/>
          <w:sz w:val="24"/>
          <w:szCs w:val="24"/>
          <w:lang w:eastAsia="en-CA"/>
        </w:rPr>
      </w:pPr>
      <w:r w:rsidRPr="00970551">
        <w:rPr>
          <w:rFonts w:ascii="Times New Roman" w:eastAsia="Times New Roman" w:hAnsi="Times New Roman" w:cs="Times New Roman"/>
          <w:sz w:val="24"/>
          <w:szCs w:val="24"/>
          <w:lang w:eastAsia="en-CA"/>
        </w:rPr>
        <w:t xml:space="preserve">Rudolph, A. E., Crawford, N. D., </w:t>
      </w:r>
      <w:proofErr w:type="spellStart"/>
      <w:r w:rsidRPr="00970551">
        <w:rPr>
          <w:rFonts w:ascii="Times New Roman" w:eastAsia="Times New Roman" w:hAnsi="Times New Roman" w:cs="Times New Roman"/>
          <w:sz w:val="24"/>
          <w:szCs w:val="24"/>
          <w:lang w:eastAsia="en-CA"/>
        </w:rPr>
        <w:t>Latkin</w:t>
      </w:r>
      <w:proofErr w:type="spellEnd"/>
      <w:r w:rsidRPr="00970551">
        <w:rPr>
          <w:rFonts w:ascii="Times New Roman" w:eastAsia="Times New Roman" w:hAnsi="Times New Roman" w:cs="Times New Roman"/>
          <w:sz w:val="24"/>
          <w:szCs w:val="24"/>
          <w:lang w:eastAsia="en-CA"/>
        </w:rPr>
        <w:t xml:space="preserve">, C., Fowler, J. H., &amp; Fuller, C. M. (2013). </w:t>
      </w:r>
      <w:proofErr w:type="gramStart"/>
      <w:r w:rsidRPr="00970551">
        <w:rPr>
          <w:rFonts w:ascii="Times New Roman" w:eastAsia="Times New Roman" w:hAnsi="Times New Roman" w:cs="Times New Roman"/>
          <w:sz w:val="24"/>
          <w:szCs w:val="24"/>
          <w:lang w:eastAsia="en-CA"/>
        </w:rPr>
        <w:t>Individual and neighborhood correlates of membership in drug using networks with a higher prevalence of HIV in New York City (2006-2009).</w:t>
      </w:r>
      <w:proofErr w:type="gramEnd"/>
      <w:r w:rsidRPr="00970551">
        <w:rPr>
          <w:rFonts w:ascii="Times New Roman" w:eastAsia="Times New Roman" w:hAnsi="Times New Roman" w:cs="Times New Roman"/>
          <w:sz w:val="24"/>
          <w:szCs w:val="24"/>
          <w:lang w:eastAsia="en-CA"/>
        </w:rPr>
        <w:t xml:space="preserve"> </w:t>
      </w:r>
      <w:proofErr w:type="gramStart"/>
      <w:r w:rsidRPr="00970551">
        <w:rPr>
          <w:rFonts w:ascii="Times New Roman" w:eastAsia="Times New Roman" w:hAnsi="Times New Roman" w:cs="Times New Roman"/>
          <w:i/>
          <w:iCs/>
          <w:sz w:val="24"/>
          <w:szCs w:val="24"/>
          <w:lang w:eastAsia="en-CA"/>
        </w:rPr>
        <w:t>Annals of Epidemiology</w:t>
      </w:r>
      <w:r w:rsidRPr="00970551">
        <w:rPr>
          <w:rFonts w:ascii="Times New Roman" w:eastAsia="Times New Roman" w:hAnsi="Times New Roman" w:cs="Times New Roman"/>
          <w:sz w:val="24"/>
          <w:szCs w:val="24"/>
          <w:lang w:eastAsia="en-CA"/>
        </w:rPr>
        <w:t xml:space="preserve">, </w:t>
      </w:r>
      <w:r w:rsidRPr="00970551">
        <w:rPr>
          <w:rFonts w:ascii="Times New Roman" w:eastAsia="Times New Roman" w:hAnsi="Times New Roman" w:cs="Times New Roman"/>
          <w:i/>
          <w:iCs/>
          <w:sz w:val="24"/>
          <w:szCs w:val="24"/>
          <w:lang w:eastAsia="en-CA"/>
        </w:rPr>
        <w:t>23</w:t>
      </w:r>
      <w:r w:rsidRPr="00970551">
        <w:rPr>
          <w:rFonts w:ascii="Times New Roman" w:eastAsia="Times New Roman" w:hAnsi="Times New Roman" w:cs="Times New Roman"/>
          <w:sz w:val="24"/>
          <w:szCs w:val="24"/>
          <w:lang w:eastAsia="en-CA"/>
        </w:rPr>
        <w:t>(5), 267–74.</w:t>
      </w:r>
      <w:proofErr w:type="gramEnd"/>
      <w:r w:rsidRPr="00970551">
        <w:rPr>
          <w:rFonts w:ascii="Times New Roman" w:eastAsia="Times New Roman" w:hAnsi="Times New Roman" w:cs="Times New Roman"/>
          <w:sz w:val="24"/>
          <w:szCs w:val="24"/>
          <w:lang w:eastAsia="en-CA"/>
        </w:rPr>
        <w:t xml:space="preserve"> doi:10.1016/j.annepidem.2013.02.006</w:t>
      </w:r>
    </w:p>
    <w:p w:rsidR="007A0556" w:rsidRPr="007A0556" w:rsidRDefault="007A0556" w:rsidP="007A0556">
      <w:pPr>
        <w:spacing w:before="100" w:beforeAutospacing="1" w:after="100" w:afterAutospacing="1" w:line="240" w:lineRule="auto"/>
        <w:ind w:left="480" w:hanging="480"/>
        <w:rPr>
          <w:rFonts w:ascii="Times New Roman" w:eastAsia="Times New Roman" w:hAnsi="Times New Roman" w:cs="Times New Roman"/>
          <w:sz w:val="24"/>
          <w:szCs w:val="24"/>
          <w:lang w:eastAsia="en-CA"/>
        </w:rPr>
      </w:pPr>
      <w:r w:rsidRPr="007A0556">
        <w:rPr>
          <w:rFonts w:ascii="Times New Roman" w:eastAsia="Times New Roman" w:hAnsi="Times New Roman" w:cs="Times New Roman"/>
          <w:sz w:val="24"/>
          <w:szCs w:val="24"/>
          <w:lang w:eastAsia="en-CA"/>
        </w:rPr>
        <w:t xml:space="preserve">Shane, A. (2013). </w:t>
      </w:r>
      <w:r w:rsidRPr="007A0556">
        <w:rPr>
          <w:rFonts w:ascii="Times New Roman" w:eastAsia="Times New Roman" w:hAnsi="Times New Roman" w:cs="Times New Roman"/>
          <w:i/>
          <w:iCs/>
          <w:sz w:val="24"/>
          <w:szCs w:val="24"/>
          <w:lang w:eastAsia="en-CA"/>
        </w:rPr>
        <w:t>Defining intervention location from social network geographic data of people who inject drugs in Winnipeg, Canada</w:t>
      </w:r>
      <w:r w:rsidRPr="007A0556">
        <w:rPr>
          <w:rFonts w:ascii="Times New Roman" w:eastAsia="Times New Roman" w:hAnsi="Times New Roman" w:cs="Times New Roman"/>
          <w:sz w:val="24"/>
          <w:szCs w:val="24"/>
          <w:lang w:eastAsia="en-CA"/>
        </w:rPr>
        <w:t xml:space="preserve">. </w:t>
      </w:r>
      <w:proofErr w:type="gramStart"/>
      <w:r w:rsidRPr="007A0556">
        <w:rPr>
          <w:rFonts w:ascii="Times New Roman" w:eastAsia="Times New Roman" w:hAnsi="Times New Roman" w:cs="Times New Roman"/>
          <w:sz w:val="24"/>
          <w:szCs w:val="24"/>
          <w:lang w:eastAsia="en-CA"/>
        </w:rPr>
        <w:t>University of Ottawa.</w:t>
      </w:r>
      <w:proofErr w:type="gramEnd"/>
      <w:r w:rsidRPr="007A0556">
        <w:rPr>
          <w:rFonts w:ascii="Times New Roman" w:eastAsia="Times New Roman" w:hAnsi="Times New Roman" w:cs="Times New Roman"/>
          <w:sz w:val="24"/>
          <w:szCs w:val="24"/>
          <w:lang w:eastAsia="en-CA"/>
        </w:rPr>
        <w:t xml:space="preserve"> Retrieved from https://www.ruor.uottawa.ca/en/bitstream/handle/10393/24394/Shane_Amanda_2013_thesis.pdf?sequence=1</w:t>
      </w:r>
    </w:p>
    <w:p w:rsidR="005F0A69" w:rsidRPr="00F71CE7" w:rsidRDefault="005F0A69" w:rsidP="005F0A69">
      <w:pPr>
        <w:ind w:left="426" w:hanging="426"/>
        <w:rPr>
          <w:rFonts w:ascii="Times New Roman" w:hAnsi="Times New Roman" w:cs="Times New Roman"/>
          <w:color w:val="FF0000"/>
          <w:sz w:val="24"/>
          <w:szCs w:val="24"/>
        </w:rPr>
      </w:pPr>
      <w:proofErr w:type="gramStart"/>
      <w:r w:rsidRPr="00F71CE7">
        <w:rPr>
          <w:rFonts w:ascii="Times New Roman" w:hAnsi="Times New Roman" w:cs="Times New Roman"/>
          <w:sz w:val="24"/>
          <w:szCs w:val="24"/>
        </w:rPr>
        <w:t>World Health Organization (2011).</w:t>
      </w:r>
      <w:proofErr w:type="gramEnd"/>
      <w:r w:rsidRPr="00F71CE7">
        <w:rPr>
          <w:rFonts w:ascii="Times New Roman" w:hAnsi="Times New Roman" w:cs="Times New Roman"/>
          <w:sz w:val="24"/>
          <w:szCs w:val="24"/>
        </w:rPr>
        <w:t xml:space="preserve"> Sexually Transmitted Infections (Fact Sheet No. 110). </w:t>
      </w:r>
      <w:hyperlink r:id="rId37" w:history="1">
        <w:r w:rsidRPr="00F71CE7">
          <w:rPr>
            <w:rStyle w:val="Hyperlink"/>
            <w:rFonts w:ascii="Times New Roman" w:hAnsi="Times New Roman" w:cs="Times New Roman"/>
            <w:color w:val="auto"/>
            <w:sz w:val="24"/>
            <w:szCs w:val="24"/>
          </w:rPr>
          <w:t>http://www.who.int/mediacentre/factsheets/fs110/en/index.html</w:t>
        </w:r>
      </w:hyperlink>
    </w:p>
    <w:p w:rsidR="004D43F2" w:rsidRPr="004D43F2" w:rsidRDefault="004D43F2" w:rsidP="004D43F2">
      <w:pPr>
        <w:pStyle w:val="NormalWeb"/>
        <w:ind w:left="480" w:hanging="480"/>
      </w:pPr>
      <w:proofErr w:type="gramStart"/>
      <w:r>
        <w:t>Wylie, J. L., Cabral, T., &amp; Jolly, A. M. (2005).</w:t>
      </w:r>
      <w:proofErr w:type="gramEnd"/>
      <w:r>
        <w:t xml:space="preserve"> Identification of Networks of Sexually Transmitted Infection: A Molecular, Geographic, and Social Network Analysis. </w:t>
      </w:r>
      <w:r>
        <w:rPr>
          <w:i/>
          <w:iCs/>
        </w:rPr>
        <w:t>Journal of Infectious Diseases</w:t>
      </w:r>
      <w:r>
        <w:t xml:space="preserve">, </w:t>
      </w:r>
      <w:r>
        <w:rPr>
          <w:i/>
          <w:iCs/>
        </w:rPr>
        <w:t>191</w:t>
      </w:r>
      <w:r>
        <w:t>(6), 899–906.</w:t>
      </w:r>
    </w:p>
    <w:p w:rsidR="006E241A" w:rsidRPr="003267FB" w:rsidRDefault="006E241A" w:rsidP="00F71CE7">
      <w:pPr>
        <w:pStyle w:val="NormalWeb"/>
        <w:ind w:left="480" w:hanging="480"/>
      </w:pPr>
      <w:proofErr w:type="gramStart"/>
      <w:r>
        <w:t>Wylie, J. L., &amp; Jolly, A. M. (2013).</w:t>
      </w:r>
      <w:proofErr w:type="gramEnd"/>
      <w:r>
        <w:t xml:space="preserve"> Understanding recruitment: outcomes associated with alternate methods for seed selection in respondent driven sampling. </w:t>
      </w:r>
      <w:proofErr w:type="gramStart"/>
      <w:r>
        <w:rPr>
          <w:i/>
          <w:iCs/>
        </w:rPr>
        <w:t>Biomed Central Medical Research Methodology</w:t>
      </w:r>
      <w:r>
        <w:t xml:space="preserve">, </w:t>
      </w:r>
      <w:r>
        <w:rPr>
          <w:i/>
          <w:iCs/>
        </w:rPr>
        <w:t>13</w:t>
      </w:r>
      <w:r>
        <w:t>(93).</w:t>
      </w:r>
      <w:proofErr w:type="gramEnd"/>
      <w:r>
        <w:t xml:space="preserve"> </w:t>
      </w:r>
      <w:proofErr w:type="gramStart"/>
      <w:r>
        <w:t>doi:</w:t>
      </w:r>
      <w:proofErr w:type="gramEnd"/>
      <w:r>
        <w:t>10.1186/1471-2288-13-93</w:t>
      </w:r>
    </w:p>
    <w:sectPr w:rsidR="006E241A" w:rsidRPr="003267FB" w:rsidSect="0024019D">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2E9" w:rsidRDefault="00A962E9" w:rsidP="00897E68">
      <w:pPr>
        <w:spacing w:after="0" w:line="240" w:lineRule="auto"/>
      </w:pPr>
      <w:r>
        <w:separator/>
      </w:r>
    </w:p>
  </w:endnote>
  <w:endnote w:type="continuationSeparator" w:id="0">
    <w:p w:rsidR="00A962E9" w:rsidRDefault="00A962E9" w:rsidP="00897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2E9" w:rsidRDefault="00A962E9" w:rsidP="00897E68">
      <w:pPr>
        <w:spacing w:after="0" w:line="240" w:lineRule="auto"/>
      </w:pPr>
      <w:r>
        <w:separator/>
      </w:r>
    </w:p>
  </w:footnote>
  <w:footnote w:type="continuationSeparator" w:id="0">
    <w:p w:rsidR="00A962E9" w:rsidRDefault="00A962E9" w:rsidP="00897E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4E0D"/>
    <w:multiLevelType w:val="hybridMultilevel"/>
    <w:tmpl w:val="2E04B086"/>
    <w:lvl w:ilvl="0" w:tplc="B928B042">
      <w:start w:val="1"/>
      <w:numFmt w:val="upp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E3D13AB"/>
    <w:multiLevelType w:val="hybridMultilevel"/>
    <w:tmpl w:val="B0CABA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58A3D2C"/>
    <w:multiLevelType w:val="multilevel"/>
    <w:tmpl w:val="1D66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FB1148"/>
    <w:multiLevelType w:val="hybridMultilevel"/>
    <w:tmpl w:val="7D76835A"/>
    <w:lvl w:ilvl="0" w:tplc="1DAA790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D4237"/>
    <w:rsid w:val="00030785"/>
    <w:rsid w:val="00056EB6"/>
    <w:rsid w:val="00067B35"/>
    <w:rsid w:val="00070405"/>
    <w:rsid w:val="00072FF9"/>
    <w:rsid w:val="00074845"/>
    <w:rsid w:val="00074920"/>
    <w:rsid w:val="00075A78"/>
    <w:rsid w:val="00077E53"/>
    <w:rsid w:val="00096B8E"/>
    <w:rsid w:val="000A124F"/>
    <w:rsid w:val="000B7608"/>
    <w:rsid w:val="000C7A1B"/>
    <w:rsid w:val="000D4237"/>
    <w:rsid w:val="000E4313"/>
    <w:rsid w:val="000E51D0"/>
    <w:rsid w:val="000F1D28"/>
    <w:rsid w:val="00105E88"/>
    <w:rsid w:val="00114192"/>
    <w:rsid w:val="00114496"/>
    <w:rsid w:val="00135A6A"/>
    <w:rsid w:val="00154651"/>
    <w:rsid w:val="001708C1"/>
    <w:rsid w:val="00192063"/>
    <w:rsid w:val="00192AC4"/>
    <w:rsid w:val="001B35E1"/>
    <w:rsid w:val="001B7C0E"/>
    <w:rsid w:val="001C249F"/>
    <w:rsid w:val="001C3F69"/>
    <w:rsid w:val="001E1E96"/>
    <w:rsid w:val="001E3BF2"/>
    <w:rsid w:val="001E6077"/>
    <w:rsid w:val="001F7B93"/>
    <w:rsid w:val="00205D80"/>
    <w:rsid w:val="00210528"/>
    <w:rsid w:val="00214EB2"/>
    <w:rsid w:val="002173D1"/>
    <w:rsid w:val="00217526"/>
    <w:rsid w:val="002302DA"/>
    <w:rsid w:val="00234DA9"/>
    <w:rsid w:val="0024019D"/>
    <w:rsid w:val="00241E26"/>
    <w:rsid w:val="00252592"/>
    <w:rsid w:val="00254BCA"/>
    <w:rsid w:val="0027038A"/>
    <w:rsid w:val="00284F58"/>
    <w:rsid w:val="002927FA"/>
    <w:rsid w:val="002941A9"/>
    <w:rsid w:val="00295AA9"/>
    <w:rsid w:val="002B5E4C"/>
    <w:rsid w:val="002B5E79"/>
    <w:rsid w:val="002D26CD"/>
    <w:rsid w:val="002E0652"/>
    <w:rsid w:val="002E4AA7"/>
    <w:rsid w:val="002F1913"/>
    <w:rsid w:val="002F4BFB"/>
    <w:rsid w:val="00316A5C"/>
    <w:rsid w:val="003178CD"/>
    <w:rsid w:val="00323A3E"/>
    <w:rsid w:val="003267FB"/>
    <w:rsid w:val="00335EAC"/>
    <w:rsid w:val="00341E66"/>
    <w:rsid w:val="003637B3"/>
    <w:rsid w:val="00364D85"/>
    <w:rsid w:val="00373680"/>
    <w:rsid w:val="00383E14"/>
    <w:rsid w:val="00395A7C"/>
    <w:rsid w:val="003B1A1A"/>
    <w:rsid w:val="003B6883"/>
    <w:rsid w:val="003D04A4"/>
    <w:rsid w:val="003D0798"/>
    <w:rsid w:val="003E0B16"/>
    <w:rsid w:val="003E7C52"/>
    <w:rsid w:val="00433E0A"/>
    <w:rsid w:val="00446BE7"/>
    <w:rsid w:val="00447152"/>
    <w:rsid w:val="004511CC"/>
    <w:rsid w:val="00464FBB"/>
    <w:rsid w:val="004770E0"/>
    <w:rsid w:val="00490A40"/>
    <w:rsid w:val="00496343"/>
    <w:rsid w:val="00496F83"/>
    <w:rsid w:val="004A3044"/>
    <w:rsid w:val="004B0684"/>
    <w:rsid w:val="004C5309"/>
    <w:rsid w:val="004C69EC"/>
    <w:rsid w:val="004D3095"/>
    <w:rsid w:val="004D43F2"/>
    <w:rsid w:val="004D78AB"/>
    <w:rsid w:val="00513AE3"/>
    <w:rsid w:val="005242DF"/>
    <w:rsid w:val="00532C94"/>
    <w:rsid w:val="00554259"/>
    <w:rsid w:val="00554DD5"/>
    <w:rsid w:val="00557DC5"/>
    <w:rsid w:val="0056067D"/>
    <w:rsid w:val="00564EF5"/>
    <w:rsid w:val="00571969"/>
    <w:rsid w:val="00582C1B"/>
    <w:rsid w:val="00597E03"/>
    <w:rsid w:val="005A588C"/>
    <w:rsid w:val="005C2283"/>
    <w:rsid w:val="005D3753"/>
    <w:rsid w:val="005D458C"/>
    <w:rsid w:val="005E4141"/>
    <w:rsid w:val="005F0A69"/>
    <w:rsid w:val="005F1870"/>
    <w:rsid w:val="00610BFE"/>
    <w:rsid w:val="00631F85"/>
    <w:rsid w:val="00655F39"/>
    <w:rsid w:val="0067512D"/>
    <w:rsid w:val="0067625E"/>
    <w:rsid w:val="00685136"/>
    <w:rsid w:val="006A1FD1"/>
    <w:rsid w:val="006A559D"/>
    <w:rsid w:val="006B2D1A"/>
    <w:rsid w:val="006D24EF"/>
    <w:rsid w:val="006E241A"/>
    <w:rsid w:val="006E71D8"/>
    <w:rsid w:val="006F1316"/>
    <w:rsid w:val="006F13F7"/>
    <w:rsid w:val="006F22A9"/>
    <w:rsid w:val="007018A2"/>
    <w:rsid w:val="00703642"/>
    <w:rsid w:val="00704BD2"/>
    <w:rsid w:val="00707ED5"/>
    <w:rsid w:val="00714A20"/>
    <w:rsid w:val="00722CDA"/>
    <w:rsid w:val="00726D0E"/>
    <w:rsid w:val="00763455"/>
    <w:rsid w:val="0077011C"/>
    <w:rsid w:val="00785F44"/>
    <w:rsid w:val="00790A03"/>
    <w:rsid w:val="007A0556"/>
    <w:rsid w:val="007A6F3A"/>
    <w:rsid w:val="007B668C"/>
    <w:rsid w:val="007C3767"/>
    <w:rsid w:val="007D4DA3"/>
    <w:rsid w:val="007E214E"/>
    <w:rsid w:val="007F1B9C"/>
    <w:rsid w:val="007F7987"/>
    <w:rsid w:val="00803E8C"/>
    <w:rsid w:val="00813BE7"/>
    <w:rsid w:val="00815163"/>
    <w:rsid w:val="008304A9"/>
    <w:rsid w:val="008353FA"/>
    <w:rsid w:val="00837851"/>
    <w:rsid w:val="00841BC9"/>
    <w:rsid w:val="00843DD4"/>
    <w:rsid w:val="00844050"/>
    <w:rsid w:val="00851358"/>
    <w:rsid w:val="00863931"/>
    <w:rsid w:val="00863959"/>
    <w:rsid w:val="00865A5B"/>
    <w:rsid w:val="00874246"/>
    <w:rsid w:val="00875078"/>
    <w:rsid w:val="0088397B"/>
    <w:rsid w:val="0089318C"/>
    <w:rsid w:val="00896780"/>
    <w:rsid w:val="00897E68"/>
    <w:rsid w:val="008A18C8"/>
    <w:rsid w:val="008A21E2"/>
    <w:rsid w:val="008A3CE7"/>
    <w:rsid w:val="008A7A81"/>
    <w:rsid w:val="008B20AB"/>
    <w:rsid w:val="008B698C"/>
    <w:rsid w:val="008C0206"/>
    <w:rsid w:val="008F2206"/>
    <w:rsid w:val="008F482C"/>
    <w:rsid w:val="008F6F20"/>
    <w:rsid w:val="0090151A"/>
    <w:rsid w:val="009040AE"/>
    <w:rsid w:val="00920FE0"/>
    <w:rsid w:val="00937C31"/>
    <w:rsid w:val="009461B7"/>
    <w:rsid w:val="00970551"/>
    <w:rsid w:val="0097458B"/>
    <w:rsid w:val="00984DA7"/>
    <w:rsid w:val="00992709"/>
    <w:rsid w:val="00992FDE"/>
    <w:rsid w:val="009A1579"/>
    <w:rsid w:val="009A496F"/>
    <w:rsid w:val="009A69D6"/>
    <w:rsid w:val="009A6CEA"/>
    <w:rsid w:val="009A6E09"/>
    <w:rsid w:val="009C0A08"/>
    <w:rsid w:val="009E0D7D"/>
    <w:rsid w:val="00A0704D"/>
    <w:rsid w:val="00A21F50"/>
    <w:rsid w:val="00A22603"/>
    <w:rsid w:val="00A24242"/>
    <w:rsid w:val="00A3096F"/>
    <w:rsid w:val="00A40C5A"/>
    <w:rsid w:val="00A44336"/>
    <w:rsid w:val="00A45A71"/>
    <w:rsid w:val="00A5598C"/>
    <w:rsid w:val="00A84DB5"/>
    <w:rsid w:val="00A859B4"/>
    <w:rsid w:val="00A923D8"/>
    <w:rsid w:val="00A93375"/>
    <w:rsid w:val="00A9383A"/>
    <w:rsid w:val="00A962E9"/>
    <w:rsid w:val="00AA22AF"/>
    <w:rsid w:val="00AB0493"/>
    <w:rsid w:val="00AD5B0A"/>
    <w:rsid w:val="00AD7E1A"/>
    <w:rsid w:val="00AF433B"/>
    <w:rsid w:val="00B07146"/>
    <w:rsid w:val="00B32FC5"/>
    <w:rsid w:val="00B35B5E"/>
    <w:rsid w:val="00B42C1E"/>
    <w:rsid w:val="00B51985"/>
    <w:rsid w:val="00B61799"/>
    <w:rsid w:val="00B65704"/>
    <w:rsid w:val="00B6717A"/>
    <w:rsid w:val="00B67AED"/>
    <w:rsid w:val="00B77953"/>
    <w:rsid w:val="00B90053"/>
    <w:rsid w:val="00B95403"/>
    <w:rsid w:val="00BA615C"/>
    <w:rsid w:val="00BB1892"/>
    <w:rsid w:val="00BB4022"/>
    <w:rsid w:val="00BD6FA4"/>
    <w:rsid w:val="00BE084C"/>
    <w:rsid w:val="00BE4329"/>
    <w:rsid w:val="00BE45F3"/>
    <w:rsid w:val="00BE4FE6"/>
    <w:rsid w:val="00BE6563"/>
    <w:rsid w:val="00C139EC"/>
    <w:rsid w:val="00C15D59"/>
    <w:rsid w:val="00C24F54"/>
    <w:rsid w:val="00C43D7F"/>
    <w:rsid w:val="00C45E3C"/>
    <w:rsid w:val="00C50BA0"/>
    <w:rsid w:val="00C52326"/>
    <w:rsid w:val="00C5322A"/>
    <w:rsid w:val="00C67257"/>
    <w:rsid w:val="00C83501"/>
    <w:rsid w:val="00CA11F1"/>
    <w:rsid w:val="00CC387F"/>
    <w:rsid w:val="00CC4265"/>
    <w:rsid w:val="00D049EB"/>
    <w:rsid w:val="00D115A7"/>
    <w:rsid w:val="00D15E22"/>
    <w:rsid w:val="00D24F50"/>
    <w:rsid w:val="00D540C1"/>
    <w:rsid w:val="00D5733B"/>
    <w:rsid w:val="00D57F0C"/>
    <w:rsid w:val="00D82346"/>
    <w:rsid w:val="00D8284B"/>
    <w:rsid w:val="00D859C2"/>
    <w:rsid w:val="00DB2234"/>
    <w:rsid w:val="00DB29D7"/>
    <w:rsid w:val="00DB5DC3"/>
    <w:rsid w:val="00DC77D8"/>
    <w:rsid w:val="00DE70C7"/>
    <w:rsid w:val="00E02DC4"/>
    <w:rsid w:val="00E23BE1"/>
    <w:rsid w:val="00E369BF"/>
    <w:rsid w:val="00E41E93"/>
    <w:rsid w:val="00E439FC"/>
    <w:rsid w:val="00E43A85"/>
    <w:rsid w:val="00E50844"/>
    <w:rsid w:val="00E579D7"/>
    <w:rsid w:val="00E61E58"/>
    <w:rsid w:val="00E623A9"/>
    <w:rsid w:val="00E623D0"/>
    <w:rsid w:val="00E63F7C"/>
    <w:rsid w:val="00E900A6"/>
    <w:rsid w:val="00E975BE"/>
    <w:rsid w:val="00E97D11"/>
    <w:rsid w:val="00EC03E5"/>
    <w:rsid w:val="00EC2130"/>
    <w:rsid w:val="00EC4CC1"/>
    <w:rsid w:val="00ED75CB"/>
    <w:rsid w:val="00EE7020"/>
    <w:rsid w:val="00F04756"/>
    <w:rsid w:val="00F1339D"/>
    <w:rsid w:val="00F45375"/>
    <w:rsid w:val="00F51F02"/>
    <w:rsid w:val="00F64B45"/>
    <w:rsid w:val="00F71CE7"/>
    <w:rsid w:val="00F77BBC"/>
    <w:rsid w:val="00F94CAD"/>
    <w:rsid w:val="00FA4C2B"/>
    <w:rsid w:val="00FB2086"/>
    <w:rsid w:val="00FC210A"/>
    <w:rsid w:val="00FC2939"/>
    <w:rsid w:val="00FD4394"/>
    <w:rsid w:val="00FE19C9"/>
    <w:rsid w:val="00FE6920"/>
    <w:rsid w:val="00FF0D5E"/>
    <w:rsid w:val="00FF0E78"/>
    <w:rsid w:val="00FF384A"/>
    <w:rsid w:val="00FF638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A1A"/>
  </w:style>
  <w:style w:type="paragraph" w:styleId="Heading1">
    <w:name w:val="heading 1"/>
    <w:basedOn w:val="Normal"/>
    <w:next w:val="Normal"/>
    <w:link w:val="Heading1Char"/>
    <w:uiPriority w:val="9"/>
    <w:qFormat/>
    <w:rsid w:val="002F4B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D42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39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4237"/>
    <w:rPr>
      <w:rFonts w:asciiTheme="majorHAnsi" w:eastAsiaTheme="majorEastAsia" w:hAnsiTheme="majorHAnsi" w:cstheme="majorBidi"/>
      <w:b/>
      <w:bCs/>
      <w:color w:val="4F81BD" w:themeColor="accent1"/>
      <w:sz w:val="26"/>
      <w:szCs w:val="26"/>
    </w:rPr>
  </w:style>
  <w:style w:type="character" w:styleId="EndnoteReference">
    <w:name w:val="endnote reference"/>
    <w:basedOn w:val="DefaultParagraphFont"/>
    <w:uiPriority w:val="99"/>
    <w:semiHidden/>
    <w:unhideWhenUsed/>
    <w:rsid w:val="000D4237"/>
    <w:rPr>
      <w:vertAlign w:val="superscript"/>
    </w:rPr>
  </w:style>
  <w:style w:type="paragraph" w:styleId="ListParagraph">
    <w:name w:val="List Paragraph"/>
    <w:basedOn w:val="Normal"/>
    <w:uiPriority w:val="34"/>
    <w:qFormat/>
    <w:rsid w:val="000D4237"/>
    <w:pPr>
      <w:ind w:left="720"/>
      <w:contextualSpacing/>
    </w:pPr>
  </w:style>
  <w:style w:type="paragraph" w:styleId="Caption">
    <w:name w:val="caption"/>
    <w:basedOn w:val="Normal"/>
    <w:next w:val="Normal"/>
    <w:uiPriority w:val="35"/>
    <w:unhideWhenUsed/>
    <w:qFormat/>
    <w:rsid w:val="000D4237"/>
    <w:pPr>
      <w:spacing w:line="240" w:lineRule="auto"/>
    </w:pPr>
    <w:rPr>
      <w:b/>
      <w:bCs/>
      <w:color w:val="4F81BD" w:themeColor="accent1"/>
      <w:sz w:val="18"/>
      <w:szCs w:val="18"/>
    </w:rPr>
  </w:style>
  <w:style w:type="table" w:styleId="TableGrid">
    <w:name w:val="Table Grid"/>
    <w:basedOn w:val="TableNormal"/>
    <w:uiPriority w:val="59"/>
    <w:rsid w:val="000D4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D4237"/>
    <w:rPr>
      <w:color w:val="0000FF" w:themeColor="hyperlink"/>
      <w:u w:val="single"/>
    </w:rPr>
  </w:style>
  <w:style w:type="character" w:styleId="CommentReference">
    <w:name w:val="annotation reference"/>
    <w:basedOn w:val="DefaultParagraphFont"/>
    <w:uiPriority w:val="99"/>
    <w:semiHidden/>
    <w:unhideWhenUsed/>
    <w:rsid w:val="00C50BA0"/>
    <w:rPr>
      <w:sz w:val="16"/>
      <w:szCs w:val="16"/>
    </w:rPr>
  </w:style>
  <w:style w:type="paragraph" w:styleId="CommentText">
    <w:name w:val="annotation text"/>
    <w:basedOn w:val="Normal"/>
    <w:link w:val="CommentTextChar"/>
    <w:uiPriority w:val="99"/>
    <w:semiHidden/>
    <w:unhideWhenUsed/>
    <w:rsid w:val="00C50BA0"/>
    <w:pPr>
      <w:spacing w:line="240" w:lineRule="auto"/>
    </w:pPr>
    <w:rPr>
      <w:sz w:val="20"/>
      <w:szCs w:val="20"/>
    </w:rPr>
  </w:style>
  <w:style w:type="character" w:customStyle="1" w:styleId="CommentTextChar">
    <w:name w:val="Comment Text Char"/>
    <w:basedOn w:val="DefaultParagraphFont"/>
    <w:link w:val="CommentText"/>
    <w:uiPriority w:val="99"/>
    <w:semiHidden/>
    <w:rsid w:val="00C50BA0"/>
    <w:rPr>
      <w:sz w:val="20"/>
      <w:szCs w:val="20"/>
    </w:rPr>
  </w:style>
  <w:style w:type="paragraph" w:styleId="CommentSubject">
    <w:name w:val="annotation subject"/>
    <w:basedOn w:val="CommentText"/>
    <w:next w:val="CommentText"/>
    <w:link w:val="CommentSubjectChar"/>
    <w:uiPriority w:val="99"/>
    <w:semiHidden/>
    <w:unhideWhenUsed/>
    <w:rsid w:val="00C50BA0"/>
    <w:rPr>
      <w:b/>
      <w:bCs/>
    </w:rPr>
  </w:style>
  <w:style w:type="character" w:customStyle="1" w:styleId="CommentSubjectChar">
    <w:name w:val="Comment Subject Char"/>
    <w:basedOn w:val="CommentTextChar"/>
    <w:link w:val="CommentSubject"/>
    <w:uiPriority w:val="99"/>
    <w:semiHidden/>
    <w:rsid w:val="00C50BA0"/>
    <w:rPr>
      <w:b/>
      <w:bCs/>
      <w:sz w:val="20"/>
      <w:szCs w:val="20"/>
    </w:rPr>
  </w:style>
  <w:style w:type="paragraph" w:styleId="BalloonText">
    <w:name w:val="Balloon Text"/>
    <w:basedOn w:val="Normal"/>
    <w:link w:val="BalloonTextChar"/>
    <w:uiPriority w:val="99"/>
    <w:semiHidden/>
    <w:unhideWhenUsed/>
    <w:rsid w:val="00C50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BA0"/>
    <w:rPr>
      <w:rFonts w:ascii="Tahoma" w:hAnsi="Tahoma" w:cs="Tahoma"/>
      <w:sz w:val="16"/>
      <w:szCs w:val="16"/>
    </w:rPr>
  </w:style>
  <w:style w:type="character" w:customStyle="1" w:styleId="Heading3Char">
    <w:name w:val="Heading 3 Char"/>
    <w:basedOn w:val="DefaultParagraphFont"/>
    <w:link w:val="Heading3"/>
    <w:uiPriority w:val="9"/>
    <w:rsid w:val="0088397B"/>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3267FB"/>
  </w:style>
  <w:style w:type="paragraph" w:styleId="NormalWeb">
    <w:name w:val="Normal (Web)"/>
    <w:basedOn w:val="Normal"/>
    <w:uiPriority w:val="99"/>
    <w:unhideWhenUsed/>
    <w:rsid w:val="006E241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EndnoteText">
    <w:name w:val="endnote text"/>
    <w:basedOn w:val="Normal"/>
    <w:link w:val="EndnoteTextChar"/>
    <w:uiPriority w:val="99"/>
    <w:semiHidden/>
    <w:unhideWhenUsed/>
    <w:rsid w:val="00897E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7E68"/>
    <w:rPr>
      <w:sz w:val="20"/>
      <w:szCs w:val="20"/>
    </w:rPr>
  </w:style>
  <w:style w:type="paragraph" w:styleId="FootnoteText">
    <w:name w:val="footnote text"/>
    <w:basedOn w:val="Normal"/>
    <w:link w:val="FootnoteTextChar"/>
    <w:uiPriority w:val="99"/>
    <w:semiHidden/>
    <w:unhideWhenUsed/>
    <w:rsid w:val="00897E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7E68"/>
    <w:rPr>
      <w:sz w:val="20"/>
      <w:szCs w:val="20"/>
    </w:rPr>
  </w:style>
  <w:style w:type="character" w:styleId="FootnoteReference">
    <w:name w:val="footnote reference"/>
    <w:basedOn w:val="DefaultParagraphFont"/>
    <w:uiPriority w:val="99"/>
    <w:semiHidden/>
    <w:unhideWhenUsed/>
    <w:rsid w:val="00897E68"/>
    <w:rPr>
      <w:vertAlign w:val="superscript"/>
    </w:rPr>
  </w:style>
  <w:style w:type="character" w:styleId="PlaceholderText">
    <w:name w:val="Placeholder Text"/>
    <w:basedOn w:val="DefaultParagraphFont"/>
    <w:uiPriority w:val="99"/>
    <w:semiHidden/>
    <w:rsid w:val="00992FDE"/>
    <w:rPr>
      <w:color w:val="808080"/>
    </w:rPr>
  </w:style>
  <w:style w:type="character" w:customStyle="1" w:styleId="reference-accessdate">
    <w:name w:val="reference-accessdate"/>
    <w:basedOn w:val="DefaultParagraphFont"/>
    <w:rsid w:val="008A3CE7"/>
  </w:style>
  <w:style w:type="character" w:customStyle="1" w:styleId="Heading1Char">
    <w:name w:val="Heading 1 Char"/>
    <w:basedOn w:val="DefaultParagraphFont"/>
    <w:link w:val="Heading1"/>
    <w:uiPriority w:val="9"/>
    <w:rsid w:val="002F4BFB"/>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4B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D42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39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4237"/>
    <w:rPr>
      <w:rFonts w:asciiTheme="majorHAnsi" w:eastAsiaTheme="majorEastAsia" w:hAnsiTheme="majorHAnsi" w:cstheme="majorBidi"/>
      <w:b/>
      <w:bCs/>
      <w:color w:val="4F81BD" w:themeColor="accent1"/>
      <w:sz w:val="26"/>
      <w:szCs w:val="26"/>
    </w:rPr>
  </w:style>
  <w:style w:type="character" w:styleId="EndnoteReference">
    <w:name w:val="endnote reference"/>
    <w:basedOn w:val="DefaultParagraphFont"/>
    <w:uiPriority w:val="99"/>
    <w:semiHidden/>
    <w:unhideWhenUsed/>
    <w:rsid w:val="000D4237"/>
    <w:rPr>
      <w:vertAlign w:val="superscript"/>
    </w:rPr>
  </w:style>
  <w:style w:type="paragraph" w:styleId="ListParagraph">
    <w:name w:val="List Paragraph"/>
    <w:basedOn w:val="Normal"/>
    <w:uiPriority w:val="34"/>
    <w:qFormat/>
    <w:rsid w:val="000D4237"/>
    <w:pPr>
      <w:ind w:left="720"/>
      <w:contextualSpacing/>
    </w:pPr>
  </w:style>
  <w:style w:type="paragraph" w:styleId="Caption">
    <w:name w:val="caption"/>
    <w:basedOn w:val="Normal"/>
    <w:next w:val="Normal"/>
    <w:uiPriority w:val="35"/>
    <w:unhideWhenUsed/>
    <w:qFormat/>
    <w:rsid w:val="000D4237"/>
    <w:pPr>
      <w:spacing w:line="240" w:lineRule="auto"/>
    </w:pPr>
    <w:rPr>
      <w:b/>
      <w:bCs/>
      <w:color w:val="4F81BD" w:themeColor="accent1"/>
      <w:sz w:val="18"/>
      <w:szCs w:val="18"/>
    </w:rPr>
  </w:style>
  <w:style w:type="table" w:styleId="TableGrid">
    <w:name w:val="Table Grid"/>
    <w:basedOn w:val="TableNormal"/>
    <w:uiPriority w:val="59"/>
    <w:rsid w:val="000D4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D4237"/>
    <w:rPr>
      <w:color w:val="0000FF" w:themeColor="hyperlink"/>
      <w:u w:val="single"/>
    </w:rPr>
  </w:style>
  <w:style w:type="character" w:styleId="CommentReference">
    <w:name w:val="annotation reference"/>
    <w:basedOn w:val="DefaultParagraphFont"/>
    <w:uiPriority w:val="99"/>
    <w:semiHidden/>
    <w:unhideWhenUsed/>
    <w:rsid w:val="00C50BA0"/>
    <w:rPr>
      <w:sz w:val="16"/>
      <w:szCs w:val="16"/>
    </w:rPr>
  </w:style>
  <w:style w:type="paragraph" w:styleId="CommentText">
    <w:name w:val="annotation text"/>
    <w:basedOn w:val="Normal"/>
    <w:link w:val="CommentTextChar"/>
    <w:uiPriority w:val="99"/>
    <w:semiHidden/>
    <w:unhideWhenUsed/>
    <w:rsid w:val="00C50BA0"/>
    <w:pPr>
      <w:spacing w:line="240" w:lineRule="auto"/>
    </w:pPr>
    <w:rPr>
      <w:sz w:val="20"/>
      <w:szCs w:val="20"/>
    </w:rPr>
  </w:style>
  <w:style w:type="character" w:customStyle="1" w:styleId="CommentTextChar">
    <w:name w:val="Comment Text Char"/>
    <w:basedOn w:val="DefaultParagraphFont"/>
    <w:link w:val="CommentText"/>
    <w:uiPriority w:val="99"/>
    <w:semiHidden/>
    <w:rsid w:val="00C50BA0"/>
    <w:rPr>
      <w:sz w:val="20"/>
      <w:szCs w:val="20"/>
    </w:rPr>
  </w:style>
  <w:style w:type="paragraph" w:styleId="CommentSubject">
    <w:name w:val="annotation subject"/>
    <w:basedOn w:val="CommentText"/>
    <w:next w:val="CommentText"/>
    <w:link w:val="CommentSubjectChar"/>
    <w:uiPriority w:val="99"/>
    <w:semiHidden/>
    <w:unhideWhenUsed/>
    <w:rsid w:val="00C50BA0"/>
    <w:rPr>
      <w:b/>
      <w:bCs/>
    </w:rPr>
  </w:style>
  <w:style w:type="character" w:customStyle="1" w:styleId="CommentSubjectChar">
    <w:name w:val="Comment Subject Char"/>
    <w:basedOn w:val="CommentTextChar"/>
    <w:link w:val="CommentSubject"/>
    <w:uiPriority w:val="99"/>
    <w:semiHidden/>
    <w:rsid w:val="00C50BA0"/>
    <w:rPr>
      <w:b/>
      <w:bCs/>
      <w:sz w:val="20"/>
      <w:szCs w:val="20"/>
    </w:rPr>
  </w:style>
  <w:style w:type="paragraph" w:styleId="BalloonText">
    <w:name w:val="Balloon Text"/>
    <w:basedOn w:val="Normal"/>
    <w:link w:val="BalloonTextChar"/>
    <w:uiPriority w:val="99"/>
    <w:semiHidden/>
    <w:unhideWhenUsed/>
    <w:rsid w:val="00C50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BA0"/>
    <w:rPr>
      <w:rFonts w:ascii="Tahoma" w:hAnsi="Tahoma" w:cs="Tahoma"/>
      <w:sz w:val="16"/>
      <w:szCs w:val="16"/>
    </w:rPr>
  </w:style>
  <w:style w:type="character" w:customStyle="1" w:styleId="Heading3Char">
    <w:name w:val="Heading 3 Char"/>
    <w:basedOn w:val="DefaultParagraphFont"/>
    <w:link w:val="Heading3"/>
    <w:uiPriority w:val="9"/>
    <w:rsid w:val="0088397B"/>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3267FB"/>
  </w:style>
  <w:style w:type="paragraph" w:styleId="NormalWeb">
    <w:name w:val="Normal (Web)"/>
    <w:basedOn w:val="Normal"/>
    <w:uiPriority w:val="99"/>
    <w:unhideWhenUsed/>
    <w:rsid w:val="006E241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EndnoteText">
    <w:name w:val="endnote text"/>
    <w:basedOn w:val="Normal"/>
    <w:link w:val="EndnoteTextChar"/>
    <w:uiPriority w:val="99"/>
    <w:semiHidden/>
    <w:unhideWhenUsed/>
    <w:rsid w:val="00897E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7E68"/>
    <w:rPr>
      <w:sz w:val="20"/>
      <w:szCs w:val="20"/>
    </w:rPr>
  </w:style>
  <w:style w:type="paragraph" w:styleId="FootnoteText">
    <w:name w:val="footnote text"/>
    <w:basedOn w:val="Normal"/>
    <w:link w:val="FootnoteTextChar"/>
    <w:uiPriority w:val="99"/>
    <w:semiHidden/>
    <w:unhideWhenUsed/>
    <w:rsid w:val="00897E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7E68"/>
    <w:rPr>
      <w:sz w:val="20"/>
      <w:szCs w:val="20"/>
    </w:rPr>
  </w:style>
  <w:style w:type="character" w:styleId="FootnoteReference">
    <w:name w:val="footnote reference"/>
    <w:basedOn w:val="DefaultParagraphFont"/>
    <w:uiPriority w:val="99"/>
    <w:semiHidden/>
    <w:unhideWhenUsed/>
    <w:rsid w:val="00897E68"/>
    <w:rPr>
      <w:vertAlign w:val="superscript"/>
    </w:rPr>
  </w:style>
  <w:style w:type="character" w:styleId="PlaceholderText">
    <w:name w:val="Placeholder Text"/>
    <w:basedOn w:val="DefaultParagraphFont"/>
    <w:uiPriority w:val="99"/>
    <w:semiHidden/>
    <w:rsid w:val="00992FDE"/>
    <w:rPr>
      <w:color w:val="808080"/>
    </w:rPr>
  </w:style>
  <w:style w:type="character" w:customStyle="1" w:styleId="reference-accessdate">
    <w:name w:val="reference-accessdate"/>
    <w:basedOn w:val="DefaultParagraphFont"/>
    <w:rsid w:val="008A3CE7"/>
  </w:style>
  <w:style w:type="character" w:customStyle="1" w:styleId="Heading1Char">
    <w:name w:val="Heading 1 Char"/>
    <w:basedOn w:val="DefaultParagraphFont"/>
    <w:link w:val="Heading1"/>
    <w:uiPriority w:val="9"/>
    <w:rsid w:val="002F4BFB"/>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8704917">
      <w:bodyDiv w:val="1"/>
      <w:marLeft w:val="0"/>
      <w:marRight w:val="0"/>
      <w:marTop w:val="0"/>
      <w:marBottom w:val="0"/>
      <w:divBdr>
        <w:top w:val="none" w:sz="0" w:space="0" w:color="auto"/>
        <w:left w:val="none" w:sz="0" w:space="0" w:color="auto"/>
        <w:bottom w:val="none" w:sz="0" w:space="0" w:color="auto"/>
        <w:right w:val="none" w:sz="0" w:space="0" w:color="auto"/>
      </w:divBdr>
    </w:div>
    <w:div w:id="55015337">
      <w:bodyDiv w:val="1"/>
      <w:marLeft w:val="0"/>
      <w:marRight w:val="0"/>
      <w:marTop w:val="0"/>
      <w:marBottom w:val="0"/>
      <w:divBdr>
        <w:top w:val="none" w:sz="0" w:space="0" w:color="auto"/>
        <w:left w:val="none" w:sz="0" w:space="0" w:color="auto"/>
        <w:bottom w:val="none" w:sz="0" w:space="0" w:color="auto"/>
        <w:right w:val="none" w:sz="0" w:space="0" w:color="auto"/>
      </w:divBdr>
    </w:div>
    <w:div w:id="204608583">
      <w:bodyDiv w:val="1"/>
      <w:marLeft w:val="0"/>
      <w:marRight w:val="0"/>
      <w:marTop w:val="0"/>
      <w:marBottom w:val="0"/>
      <w:divBdr>
        <w:top w:val="none" w:sz="0" w:space="0" w:color="auto"/>
        <w:left w:val="none" w:sz="0" w:space="0" w:color="auto"/>
        <w:bottom w:val="none" w:sz="0" w:space="0" w:color="auto"/>
        <w:right w:val="none" w:sz="0" w:space="0" w:color="auto"/>
      </w:divBdr>
    </w:div>
    <w:div w:id="213082979">
      <w:bodyDiv w:val="1"/>
      <w:marLeft w:val="0"/>
      <w:marRight w:val="0"/>
      <w:marTop w:val="0"/>
      <w:marBottom w:val="0"/>
      <w:divBdr>
        <w:top w:val="none" w:sz="0" w:space="0" w:color="auto"/>
        <w:left w:val="none" w:sz="0" w:space="0" w:color="auto"/>
        <w:bottom w:val="none" w:sz="0" w:space="0" w:color="auto"/>
        <w:right w:val="none" w:sz="0" w:space="0" w:color="auto"/>
      </w:divBdr>
    </w:div>
    <w:div w:id="256135679">
      <w:bodyDiv w:val="1"/>
      <w:marLeft w:val="0"/>
      <w:marRight w:val="0"/>
      <w:marTop w:val="0"/>
      <w:marBottom w:val="0"/>
      <w:divBdr>
        <w:top w:val="none" w:sz="0" w:space="0" w:color="auto"/>
        <w:left w:val="none" w:sz="0" w:space="0" w:color="auto"/>
        <w:bottom w:val="none" w:sz="0" w:space="0" w:color="auto"/>
        <w:right w:val="none" w:sz="0" w:space="0" w:color="auto"/>
      </w:divBdr>
    </w:div>
    <w:div w:id="303463763">
      <w:bodyDiv w:val="1"/>
      <w:marLeft w:val="0"/>
      <w:marRight w:val="0"/>
      <w:marTop w:val="0"/>
      <w:marBottom w:val="0"/>
      <w:divBdr>
        <w:top w:val="none" w:sz="0" w:space="0" w:color="auto"/>
        <w:left w:val="none" w:sz="0" w:space="0" w:color="auto"/>
        <w:bottom w:val="none" w:sz="0" w:space="0" w:color="auto"/>
        <w:right w:val="none" w:sz="0" w:space="0" w:color="auto"/>
      </w:divBdr>
    </w:div>
    <w:div w:id="440955067">
      <w:bodyDiv w:val="1"/>
      <w:marLeft w:val="0"/>
      <w:marRight w:val="0"/>
      <w:marTop w:val="0"/>
      <w:marBottom w:val="0"/>
      <w:divBdr>
        <w:top w:val="none" w:sz="0" w:space="0" w:color="auto"/>
        <w:left w:val="none" w:sz="0" w:space="0" w:color="auto"/>
        <w:bottom w:val="none" w:sz="0" w:space="0" w:color="auto"/>
        <w:right w:val="none" w:sz="0" w:space="0" w:color="auto"/>
      </w:divBdr>
    </w:div>
    <w:div w:id="588975612">
      <w:bodyDiv w:val="1"/>
      <w:marLeft w:val="0"/>
      <w:marRight w:val="0"/>
      <w:marTop w:val="0"/>
      <w:marBottom w:val="0"/>
      <w:divBdr>
        <w:top w:val="none" w:sz="0" w:space="0" w:color="auto"/>
        <w:left w:val="none" w:sz="0" w:space="0" w:color="auto"/>
        <w:bottom w:val="none" w:sz="0" w:space="0" w:color="auto"/>
        <w:right w:val="none" w:sz="0" w:space="0" w:color="auto"/>
      </w:divBdr>
    </w:div>
    <w:div w:id="676690552">
      <w:bodyDiv w:val="1"/>
      <w:marLeft w:val="0"/>
      <w:marRight w:val="0"/>
      <w:marTop w:val="0"/>
      <w:marBottom w:val="0"/>
      <w:divBdr>
        <w:top w:val="none" w:sz="0" w:space="0" w:color="auto"/>
        <w:left w:val="none" w:sz="0" w:space="0" w:color="auto"/>
        <w:bottom w:val="none" w:sz="0" w:space="0" w:color="auto"/>
        <w:right w:val="none" w:sz="0" w:space="0" w:color="auto"/>
      </w:divBdr>
    </w:div>
    <w:div w:id="720052990">
      <w:bodyDiv w:val="1"/>
      <w:marLeft w:val="0"/>
      <w:marRight w:val="0"/>
      <w:marTop w:val="0"/>
      <w:marBottom w:val="0"/>
      <w:divBdr>
        <w:top w:val="none" w:sz="0" w:space="0" w:color="auto"/>
        <w:left w:val="none" w:sz="0" w:space="0" w:color="auto"/>
        <w:bottom w:val="none" w:sz="0" w:space="0" w:color="auto"/>
        <w:right w:val="none" w:sz="0" w:space="0" w:color="auto"/>
      </w:divBdr>
    </w:div>
    <w:div w:id="765347258">
      <w:bodyDiv w:val="1"/>
      <w:marLeft w:val="0"/>
      <w:marRight w:val="0"/>
      <w:marTop w:val="0"/>
      <w:marBottom w:val="0"/>
      <w:divBdr>
        <w:top w:val="none" w:sz="0" w:space="0" w:color="auto"/>
        <w:left w:val="none" w:sz="0" w:space="0" w:color="auto"/>
        <w:bottom w:val="none" w:sz="0" w:space="0" w:color="auto"/>
        <w:right w:val="none" w:sz="0" w:space="0" w:color="auto"/>
      </w:divBdr>
    </w:div>
    <w:div w:id="806312581">
      <w:bodyDiv w:val="1"/>
      <w:marLeft w:val="0"/>
      <w:marRight w:val="0"/>
      <w:marTop w:val="0"/>
      <w:marBottom w:val="0"/>
      <w:divBdr>
        <w:top w:val="none" w:sz="0" w:space="0" w:color="auto"/>
        <w:left w:val="none" w:sz="0" w:space="0" w:color="auto"/>
        <w:bottom w:val="none" w:sz="0" w:space="0" w:color="auto"/>
        <w:right w:val="none" w:sz="0" w:space="0" w:color="auto"/>
      </w:divBdr>
    </w:div>
    <w:div w:id="828327762">
      <w:bodyDiv w:val="1"/>
      <w:marLeft w:val="0"/>
      <w:marRight w:val="0"/>
      <w:marTop w:val="0"/>
      <w:marBottom w:val="0"/>
      <w:divBdr>
        <w:top w:val="none" w:sz="0" w:space="0" w:color="auto"/>
        <w:left w:val="none" w:sz="0" w:space="0" w:color="auto"/>
        <w:bottom w:val="none" w:sz="0" w:space="0" w:color="auto"/>
        <w:right w:val="none" w:sz="0" w:space="0" w:color="auto"/>
      </w:divBdr>
    </w:div>
    <w:div w:id="913586159">
      <w:bodyDiv w:val="1"/>
      <w:marLeft w:val="0"/>
      <w:marRight w:val="0"/>
      <w:marTop w:val="0"/>
      <w:marBottom w:val="0"/>
      <w:divBdr>
        <w:top w:val="none" w:sz="0" w:space="0" w:color="auto"/>
        <w:left w:val="none" w:sz="0" w:space="0" w:color="auto"/>
        <w:bottom w:val="none" w:sz="0" w:space="0" w:color="auto"/>
        <w:right w:val="none" w:sz="0" w:space="0" w:color="auto"/>
      </w:divBdr>
    </w:div>
    <w:div w:id="983314139">
      <w:bodyDiv w:val="1"/>
      <w:marLeft w:val="0"/>
      <w:marRight w:val="0"/>
      <w:marTop w:val="0"/>
      <w:marBottom w:val="0"/>
      <w:divBdr>
        <w:top w:val="none" w:sz="0" w:space="0" w:color="auto"/>
        <w:left w:val="none" w:sz="0" w:space="0" w:color="auto"/>
        <w:bottom w:val="none" w:sz="0" w:space="0" w:color="auto"/>
        <w:right w:val="none" w:sz="0" w:space="0" w:color="auto"/>
      </w:divBdr>
    </w:div>
    <w:div w:id="992371442">
      <w:bodyDiv w:val="1"/>
      <w:marLeft w:val="0"/>
      <w:marRight w:val="0"/>
      <w:marTop w:val="0"/>
      <w:marBottom w:val="0"/>
      <w:divBdr>
        <w:top w:val="none" w:sz="0" w:space="0" w:color="auto"/>
        <w:left w:val="none" w:sz="0" w:space="0" w:color="auto"/>
        <w:bottom w:val="none" w:sz="0" w:space="0" w:color="auto"/>
        <w:right w:val="none" w:sz="0" w:space="0" w:color="auto"/>
      </w:divBdr>
    </w:div>
    <w:div w:id="1376462344">
      <w:bodyDiv w:val="1"/>
      <w:marLeft w:val="0"/>
      <w:marRight w:val="0"/>
      <w:marTop w:val="0"/>
      <w:marBottom w:val="0"/>
      <w:divBdr>
        <w:top w:val="none" w:sz="0" w:space="0" w:color="auto"/>
        <w:left w:val="none" w:sz="0" w:space="0" w:color="auto"/>
        <w:bottom w:val="none" w:sz="0" w:space="0" w:color="auto"/>
        <w:right w:val="none" w:sz="0" w:space="0" w:color="auto"/>
      </w:divBdr>
    </w:div>
    <w:div w:id="1413046597">
      <w:bodyDiv w:val="1"/>
      <w:marLeft w:val="0"/>
      <w:marRight w:val="0"/>
      <w:marTop w:val="0"/>
      <w:marBottom w:val="0"/>
      <w:divBdr>
        <w:top w:val="none" w:sz="0" w:space="0" w:color="auto"/>
        <w:left w:val="none" w:sz="0" w:space="0" w:color="auto"/>
        <w:bottom w:val="none" w:sz="0" w:space="0" w:color="auto"/>
        <w:right w:val="none" w:sz="0" w:space="0" w:color="auto"/>
      </w:divBdr>
    </w:div>
    <w:div w:id="1460149490">
      <w:bodyDiv w:val="1"/>
      <w:marLeft w:val="0"/>
      <w:marRight w:val="0"/>
      <w:marTop w:val="0"/>
      <w:marBottom w:val="0"/>
      <w:divBdr>
        <w:top w:val="none" w:sz="0" w:space="0" w:color="auto"/>
        <w:left w:val="none" w:sz="0" w:space="0" w:color="auto"/>
        <w:bottom w:val="none" w:sz="0" w:space="0" w:color="auto"/>
        <w:right w:val="none" w:sz="0" w:space="0" w:color="auto"/>
      </w:divBdr>
    </w:div>
    <w:div w:id="1605839560">
      <w:bodyDiv w:val="1"/>
      <w:marLeft w:val="0"/>
      <w:marRight w:val="0"/>
      <w:marTop w:val="0"/>
      <w:marBottom w:val="0"/>
      <w:divBdr>
        <w:top w:val="none" w:sz="0" w:space="0" w:color="auto"/>
        <w:left w:val="none" w:sz="0" w:space="0" w:color="auto"/>
        <w:bottom w:val="none" w:sz="0" w:space="0" w:color="auto"/>
        <w:right w:val="none" w:sz="0" w:space="0" w:color="auto"/>
      </w:divBdr>
    </w:div>
    <w:div w:id="1867209113">
      <w:bodyDiv w:val="1"/>
      <w:marLeft w:val="0"/>
      <w:marRight w:val="0"/>
      <w:marTop w:val="0"/>
      <w:marBottom w:val="0"/>
      <w:divBdr>
        <w:top w:val="none" w:sz="0" w:space="0" w:color="auto"/>
        <w:left w:val="none" w:sz="0" w:space="0" w:color="auto"/>
        <w:bottom w:val="none" w:sz="0" w:space="0" w:color="auto"/>
        <w:right w:val="none" w:sz="0" w:space="0" w:color="auto"/>
      </w:divBdr>
    </w:div>
    <w:div w:id="1884555523">
      <w:bodyDiv w:val="1"/>
      <w:marLeft w:val="0"/>
      <w:marRight w:val="0"/>
      <w:marTop w:val="0"/>
      <w:marBottom w:val="0"/>
      <w:divBdr>
        <w:top w:val="none" w:sz="0" w:space="0" w:color="auto"/>
        <w:left w:val="none" w:sz="0" w:space="0" w:color="auto"/>
        <w:bottom w:val="none" w:sz="0" w:space="0" w:color="auto"/>
        <w:right w:val="none" w:sz="0" w:space="0" w:color="auto"/>
      </w:divBdr>
    </w:div>
    <w:div w:id="1975019779">
      <w:bodyDiv w:val="1"/>
      <w:marLeft w:val="0"/>
      <w:marRight w:val="0"/>
      <w:marTop w:val="0"/>
      <w:marBottom w:val="0"/>
      <w:divBdr>
        <w:top w:val="none" w:sz="0" w:space="0" w:color="auto"/>
        <w:left w:val="none" w:sz="0" w:space="0" w:color="auto"/>
        <w:bottom w:val="none" w:sz="0" w:space="0" w:color="auto"/>
        <w:right w:val="none" w:sz="0" w:space="0" w:color="auto"/>
      </w:divBdr>
    </w:div>
    <w:div w:id="2013409730">
      <w:bodyDiv w:val="1"/>
      <w:marLeft w:val="0"/>
      <w:marRight w:val="0"/>
      <w:marTop w:val="0"/>
      <w:marBottom w:val="0"/>
      <w:divBdr>
        <w:top w:val="none" w:sz="0" w:space="0" w:color="auto"/>
        <w:left w:val="none" w:sz="0" w:space="0" w:color="auto"/>
        <w:bottom w:val="none" w:sz="0" w:space="0" w:color="auto"/>
        <w:right w:val="none" w:sz="0" w:space="0" w:color="auto"/>
      </w:divBdr>
    </w:div>
    <w:div w:id="20220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gis.com" TargetMode="External"/><Relationship Id="rId13" Type="http://schemas.openxmlformats.org/officeDocument/2006/relationships/chart" Target="charts/chart2.xml"/><Relationship Id="rId18" Type="http://schemas.openxmlformats.org/officeDocument/2006/relationships/image" Target="media/image5.jpeg"/><Relationship Id="rId26" Type="http://schemas.openxmlformats.org/officeDocument/2006/relationships/image" Target="media/image13.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http://www.phac-aspc.gc.ca/aids-sida/publication/survreport/estimat2011-eng.php"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hyperlink" Target="http://www.phac-aspc.gc.ca/std-mts/sti-its/cgsti-ldcits/index-eng.php"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hyperlink" Target="http://citeseer.ist.psu.edu/viewdoc/summary?doi=10.1.1.11.20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ri.com" TargetMode="External"/><Relationship Id="rId24" Type="http://schemas.openxmlformats.org/officeDocument/2006/relationships/image" Target="media/image11.jpeg"/><Relationship Id="rId32" Type="http://schemas.openxmlformats.org/officeDocument/2006/relationships/hyperlink" Target="http://vlado.fmf.uni-lj.si/pub/networks/pajek/howto/excel2Pajek.htm" TargetMode="External"/><Relationship Id="rId37" Type="http://schemas.openxmlformats.org/officeDocument/2006/relationships/hyperlink" Target="http://www.who.int/mediacentre/factsheets/fs110/en/index.html"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hyperlink" Target="http://pajek.imfm.si/doku.php?id=download" TargetMode="External"/><Relationship Id="rId36" Type="http://schemas.openxmlformats.org/officeDocument/2006/relationships/hyperlink" Target="http://www.phac-aspc.gc.ca/sti-its-surv-epi/model/pdf/model07-eng.pdf" TargetMode="External"/><Relationship Id="rId10" Type="http://schemas.openxmlformats.org/officeDocument/2006/relationships/hyperlink" Target="http://vlado.fmf.uni-lj.si/pub/networks/pajek/" TargetMode="External"/><Relationship Id="rId19" Type="http://schemas.openxmlformats.org/officeDocument/2006/relationships/image" Target="media/image6.jpeg"/><Relationship Id="rId31" Type="http://schemas.openxmlformats.org/officeDocument/2006/relationships/hyperlink" Target="http://mchp-appserv.cpe.umanitoba.ca/viewConcept.php?conceptID=1311" TargetMode="External"/><Relationship Id="rId4" Type="http://schemas.openxmlformats.org/officeDocument/2006/relationships/settings" Target="settings.xml"/><Relationship Id="rId9" Type="http://schemas.openxmlformats.org/officeDocument/2006/relationships/hyperlink" Target="http://www.openstreetmap.org" TargetMode="External"/><Relationship Id="rId14" Type="http://schemas.openxmlformats.org/officeDocument/2006/relationships/image" Target="media/image1.pn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hyperlink" Target="http://www.cdc.gov/std/stats/STI-Estimates-Fact-Sheet-Feb-2013.pdf" TargetMode="External"/><Relationship Id="rId35" Type="http://schemas.openxmlformats.org/officeDocument/2006/relationships/hyperlink" Target="http://www.phac-aspc.gc.ca/aids-sida/about/mtrack-eng.php"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jtompkins.HAL\Dropbox\PSU\GEOG%20Thesis%20Data%20Work\FINAL%20RUN\Frequency%20Distribution.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Sheet3!$B$1</c:f>
              <c:strCache>
                <c:ptCount val="1"/>
                <c:pt idx="0">
                  <c:v># Nodes</c:v>
                </c:pt>
              </c:strCache>
            </c:strRef>
          </c:tx>
          <c:spPr>
            <a:solidFill>
              <a:sysClr val="windowText" lastClr="000000"/>
            </a:solidFill>
            <a:ln>
              <a:solidFill>
                <a:sysClr val="windowText" lastClr="000000"/>
              </a:solidFill>
            </a:ln>
            <a:effectLst/>
          </c:spPr>
          <c:val>
            <c:numRef>
              <c:f>Sheet3!$B$2:$B$148</c:f>
              <c:numCache>
                <c:formatCode>General</c:formatCode>
                <c:ptCount val="147"/>
                <c:pt idx="0">
                  <c:v>46</c:v>
                </c:pt>
                <c:pt idx="1">
                  <c:v>39</c:v>
                </c:pt>
                <c:pt idx="2">
                  <c:v>35</c:v>
                </c:pt>
                <c:pt idx="3">
                  <c:v>30</c:v>
                </c:pt>
                <c:pt idx="4">
                  <c:v>22</c:v>
                </c:pt>
                <c:pt idx="5">
                  <c:v>21</c:v>
                </c:pt>
                <c:pt idx="6">
                  <c:v>21</c:v>
                </c:pt>
                <c:pt idx="7">
                  <c:v>17</c:v>
                </c:pt>
                <c:pt idx="8">
                  <c:v>15</c:v>
                </c:pt>
                <c:pt idx="9">
                  <c:v>13</c:v>
                </c:pt>
                <c:pt idx="10">
                  <c:v>11</c:v>
                </c:pt>
                <c:pt idx="11">
                  <c:v>10</c:v>
                </c:pt>
                <c:pt idx="12">
                  <c:v>10</c:v>
                </c:pt>
                <c:pt idx="13">
                  <c:v>9</c:v>
                </c:pt>
                <c:pt idx="14">
                  <c:v>9</c:v>
                </c:pt>
                <c:pt idx="15">
                  <c:v>8</c:v>
                </c:pt>
                <c:pt idx="16">
                  <c:v>8</c:v>
                </c:pt>
                <c:pt idx="17">
                  <c:v>7</c:v>
                </c:pt>
                <c:pt idx="18">
                  <c:v>7</c:v>
                </c:pt>
                <c:pt idx="19">
                  <c:v>6</c:v>
                </c:pt>
                <c:pt idx="20">
                  <c:v>6</c:v>
                </c:pt>
                <c:pt idx="21">
                  <c:v>6</c:v>
                </c:pt>
                <c:pt idx="22">
                  <c:v>5</c:v>
                </c:pt>
                <c:pt idx="23">
                  <c:v>5</c:v>
                </c:pt>
                <c:pt idx="24">
                  <c:v>5</c:v>
                </c:pt>
                <c:pt idx="25">
                  <c:v>5</c:v>
                </c:pt>
                <c:pt idx="26">
                  <c:v>5</c:v>
                </c:pt>
                <c:pt idx="27">
                  <c:v>5</c:v>
                </c:pt>
                <c:pt idx="28">
                  <c:v>5</c:v>
                </c:pt>
                <c:pt idx="29">
                  <c:v>4</c:v>
                </c:pt>
                <c:pt idx="30">
                  <c:v>4</c:v>
                </c:pt>
                <c:pt idx="31">
                  <c:v>4</c:v>
                </c:pt>
                <c:pt idx="32">
                  <c:v>4</c:v>
                </c:pt>
                <c:pt idx="33">
                  <c:v>4</c:v>
                </c:pt>
                <c:pt idx="34">
                  <c:v>4</c:v>
                </c:pt>
                <c:pt idx="35">
                  <c:v>4</c:v>
                </c:pt>
                <c:pt idx="36">
                  <c:v>4</c:v>
                </c:pt>
                <c:pt idx="37">
                  <c:v>4</c:v>
                </c:pt>
                <c:pt idx="38">
                  <c:v>4</c:v>
                </c:pt>
                <c:pt idx="39">
                  <c:v>4</c:v>
                </c:pt>
                <c:pt idx="40">
                  <c:v>3</c:v>
                </c:pt>
                <c:pt idx="41">
                  <c:v>3</c:v>
                </c:pt>
                <c:pt idx="42">
                  <c:v>3</c:v>
                </c:pt>
                <c:pt idx="43">
                  <c:v>3</c:v>
                </c:pt>
                <c:pt idx="44">
                  <c:v>3</c:v>
                </c:pt>
                <c:pt idx="45">
                  <c:v>3</c:v>
                </c:pt>
                <c:pt idx="46">
                  <c:v>3</c:v>
                </c:pt>
                <c:pt idx="47">
                  <c:v>3</c:v>
                </c:pt>
                <c:pt idx="48">
                  <c:v>3</c:v>
                </c:pt>
                <c:pt idx="49">
                  <c:v>3</c:v>
                </c:pt>
                <c:pt idx="50">
                  <c:v>3</c:v>
                </c:pt>
                <c:pt idx="51">
                  <c:v>3</c:v>
                </c:pt>
                <c:pt idx="52">
                  <c:v>3</c:v>
                </c:pt>
                <c:pt idx="53">
                  <c:v>3</c:v>
                </c:pt>
                <c:pt idx="54">
                  <c:v>3</c:v>
                </c:pt>
                <c:pt idx="55">
                  <c:v>3</c:v>
                </c:pt>
                <c:pt idx="56">
                  <c:v>3</c:v>
                </c:pt>
                <c:pt idx="57">
                  <c:v>2</c:v>
                </c:pt>
                <c:pt idx="58">
                  <c:v>2</c:v>
                </c:pt>
                <c:pt idx="59">
                  <c:v>2</c:v>
                </c:pt>
                <c:pt idx="60">
                  <c:v>2</c:v>
                </c:pt>
                <c:pt idx="61">
                  <c:v>2</c:v>
                </c:pt>
                <c:pt idx="62">
                  <c:v>2</c:v>
                </c:pt>
                <c:pt idx="63">
                  <c:v>2</c:v>
                </c:pt>
                <c:pt idx="64">
                  <c:v>2</c:v>
                </c:pt>
                <c:pt idx="65">
                  <c:v>2</c:v>
                </c:pt>
                <c:pt idx="66">
                  <c:v>2</c:v>
                </c:pt>
                <c:pt idx="67">
                  <c:v>2</c:v>
                </c:pt>
                <c:pt idx="68">
                  <c:v>2</c:v>
                </c:pt>
                <c:pt idx="69">
                  <c:v>2</c:v>
                </c:pt>
                <c:pt idx="70">
                  <c:v>2</c:v>
                </c:pt>
                <c:pt idx="71">
                  <c:v>2</c:v>
                </c:pt>
                <c:pt idx="72">
                  <c:v>2</c:v>
                </c:pt>
                <c:pt idx="73">
                  <c:v>2</c:v>
                </c:pt>
                <c:pt idx="74">
                  <c:v>2</c:v>
                </c:pt>
                <c:pt idx="75">
                  <c:v>2</c:v>
                </c:pt>
                <c:pt idx="76">
                  <c:v>2</c:v>
                </c:pt>
                <c:pt idx="77">
                  <c:v>2</c:v>
                </c:pt>
                <c:pt idx="78">
                  <c:v>2</c:v>
                </c:pt>
                <c:pt idx="79">
                  <c:v>2</c:v>
                </c:pt>
                <c:pt idx="80">
                  <c:v>2</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numCache>
            </c:numRef>
          </c:val>
        </c:ser>
        <c:dLbls/>
        <c:gapWidth val="219"/>
        <c:overlap val="-27"/>
        <c:axId val="50820224"/>
        <c:axId val="50822144"/>
      </c:barChart>
      <c:catAx>
        <c:axId val="50820224"/>
        <c:scaling>
          <c:orientation val="minMax"/>
        </c:scaling>
        <c:axPos val="b"/>
        <c:title>
          <c:tx>
            <c:rich>
              <a:bodyPr/>
              <a:lstStyle/>
              <a:p>
                <a:pPr>
                  <a:defRPr/>
                </a:pPr>
                <a:r>
                  <a:rPr lang="en-CA"/>
                  <a:t>Component #</a:t>
                </a:r>
              </a:p>
            </c:rich>
          </c:tx>
        </c:title>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822144"/>
        <c:crosses val="autoZero"/>
        <c:auto val="1"/>
        <c:lblAlgn val="ctr"/>
        <c:lblOffset val="100"/>
      </c:catAx>
      <c:valAx>
        <c:axId val="5082214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CA" b="1">
                    <a:ln>
                      <a:noFill/>
                    </a:ln>
                    <a:solidFill>
                      <a:schemeClr val="tx1"/>
                    </a:solidFill>
                  </a:rPr>
                  <a:t>Number of Nodes</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82022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Sheet2!$L$1</c:f>
              <c:strCache>
                <c:ptCount val="1"/>
                <c:pt idx="0">
                  <c:v># Nodes</c:v>
                </c:pt>
              </c:strCache>
            </c:strRef>
          </c:tx>
          <c:spPr>
            <a:solidFill>
              <a:sysClr val="windowText" lastClr="000000"/>
            </a:solidFill>
          </c:spPr>
          <c:cat>
            <c:strRef>
              <c:f>Sheet2!$K$2:$K$14</c:f>
              <c:strCache>
                <c:ptCount val="13"/>
                <c:pt idx="0">
                  <c:v>1</c:v>
                </c:pt>
                <c:pt idx="1">
                  <c:v>2</c:v>
                </c:pt>
                <c:pt idx="2">
                  <c:v>3</c:v>
                </c:pt>
                <c:pt idx="3">
                  <c:v>4</c:v>
                </c:pt>
                <c:pt idx="4">
                  <c:v>5</c:v>
                </c:pt>
                <c:pt idx="5">
                  <c:v>6</c:v>
                </c:pt>
                <c:pt idx="6">
                  <c:v>7 - 9</c:v>
                </c:pt>
                <c:pt idx="7">
                  <c:v>10 - 12</c:v>
                </c:pt>
                <c:pt idx="8">
                  <c:v>13</c:v>
                </c:pt>
                <c:pt idx="9">
                  <c:v>14 - 17</c:v>
                </c:pt>
                <c:pt idx="10">
                  <c:v>18 - 21</c:v>
                </c:pt>
                <c:pt idx="11">
                  <c:v>22 - 32</c:v>
                </c:pt>
                <c:pt idx="12">
                  <c:v>33 - 57</c:v>
                </c:pt>
              </c:strCache>
            </c:strRef>
          </c:cat>
          <c:val>
            <c:numRef>
              <c:f>Sheet2!$L$2:$L$14</c:f>
              <c:numCache>
                <c:formatCode>General</c:formatCode>
                <c:ptCount val="13"/>
                <c:pt idx="0">
                  <c:v>366</c:v>
                </c:pt>
                <c:pt idx="1">
                  <c:v>45</c:v>
                </c:pt>
                <c:pt idx="2">
                  <c:v>36</c:v>
                </c:pt>
                <c:pt idx="3">
                  <c:v>21</c:v>
                </c:pt>
                <c:pt idx="4">
                  <c:v>13</c:v>
                </c:pt>
                <c:pt idx="5">
                  <c:v>9</c:v>
                </c:pt>
                <c:pt idx="6">
                  <c:v>8</c:v>
                </c:pt>
                <c:pt idx="7">
                  <c:v>7</c:v>
                </c:pt>
                <c:pt idx="8">
                  <c:v>6</c:v>
                </c:pt>
                <c:pt idx="9">
                  <c:v>5</c:v>
                </c:pt>
                <c:pt idx="10">
                  <c:v>4</c:v>
                </c:pt>
                <c:pt idx="11">
                  <c:v>3</c:v>
                </c:pt>
                <c:pt idx="12">
                  <c:v>2</c:v>
                </c:pt>
              </c:numCache>
            </c:numRef>
          </c:val>
        </c:ser>
        <c:dLbls/>
        <c:axId val="51189632"/>
        <c:axId val="51240960"/>
      </c:barChart>
      <c:catAx>
        <c:axId val="51189632"/>
        <c:scaling>
          <c:orientation val="minMax"/>
        </c:scaling>
        <c:axPos val="b"/>
        <c:title>
          <c:tx>
            <c:rich>
              <a:bodyPr/>
              <a:lstStyle/>
              <a:p>
                <a:pPr>
                  <a:defRPr/>
                </a:pPr>
                <a:r>
                  <a:rPr lang="en-CA"/>
                  <a:t>Component #</a:t>
                </a:r>
              </a:p>
            </c:rich>
          </c:tx>
        </c:title>
        <c:numFmt formatCode="General" sourceLinked="0"/>
        <c:majorTickMark val="none"/>
        <c:tickLblPos val="nextTo"/>
        <c:crossAx val="51240960"/>
        <c:crosses val="autoZero"/>
        <c:auto val="1"/>
        <c:lblAlgn val="ctr"/>
        <c:lblOffset val="100"/>
      </c:catAx>
      <c:valAx>
        <c:axId val="51240960"/>
        <c:scaling>
          <c:orientation val="minMax"/>
        </c:scaling>
        <c:axPos val="l"/>
        <c:majorGridlines/>
        <c:title>
          <c:tx>
            <c:rich>
              <a:bodyPr/>
              <a:lstStyle/>
              <a:p>
                <a:pPr>
                  <a:defRPr/>
                </a:pPr>
                <a:r>
                  <a:rPr lang="en-CA"/>
                  <a:t>Number</a:t>
                </a:r>
                <a:r>
                  <a:rPr lang="en-CA" baseline="0"/>
                  <a:t> of Nodes</a:t>
                </a:r>
                <a:endParaRPr lang="en-CA"/>
              </a:p>
            </c:rich>
          </c:tx>
        </c:title>
        <c:numFmt formatCode="General" sourceLinked="1"/>
        <c:majorTickMark val="none"/>
        <c:tickLblPos val="low"/>
        <c:crossAx val="51189632"/>
        <c:crosses val="autoZero"/>
        <c:crossBetween val="between"/>
      </c:valAx>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7A0F9-F8B8-4339-A166-C2CC36FE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5807</Words>
  <Characters>33105</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Tompkins</dc:creator>
  <cp:lastModifiedBy>exf107</cp:lastModifiedBy>
  <cp:revision>2</cp:revision>
  <cp:lastPrinted>2014-04-24T20:24:00Z</cp:lastPrinted>
  <dcterms:created xsi:type="dcterms:W3CDTF">2014-05-06T17:10:00Z</dcterms:created>
  <dcterms:modified xsi:type="dcterms:W3CDTF">2014-05-06T17:10:00Z</dcterms:modified>
</cp:coreProperties>
</file>